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DA986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40726</w:t>
      </w:r>
      <w:r w:rsidR="0016666F" w:rsidRPr="006E7BAE">
        <w:t>     </w:t>
      </w:r>
    </w:p>
    <w:bookmarkEnd w:id="0"/>
    <w:p w14:paraId="38DDA987" w14:textId="77777777" w:rsidR="009F436C" w:rsidRDefault="009F436C" w:rsidP="00382FEC"/>
    <w:p w14:paraId="38DDA988" w14:textId="77777777" w:rsidR="00067BC5" w:rsidRDefault="00067BC5" w:rsidP="00382FEC"/>
    <w:p w14:paraId="38DDA989" w14:textId="77777777" w:rsidR="00067BC5" w:rsidRDefault="00067BC5" w:rsidP="00382FEC"/>
    <w:p w14:paraId="38DDA98A" w14:textId="77777777" w:rsidR="00067BC5" w:rsidRPr="006E7BAE" w:rsidRDefault="00067BC5" w:rsidP="00382FEC"/>
    <w:p w14:paraId="38DDA98B" w14:textId="77777777" w:rsidR="002568D3" w:rsidRPr="006E7BAE" w:rsidRDefault="002568D3" w:rsidP="00382FEC"/>
    <w:tbl>
      <w:tblPr>
        <w:tblW w:w="503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19"/>
        <w:gridCol w:w="713"/>
        <w:gridCol w:w="4399"/>
      </w:tblGrid>
      <w:tr w:rsidR="00417FB7" w:rsidRPr="006E7BAE" w14:paraId="38DDA98F" w14:textId="77777777" w:rsidTr="00C130DA">
        <w:tc>
          <w:tcPr>
            <w:tcW w:w="2290" w:type="pct"/>
          </w:tcPr>
          <w:p w14:paraId="38DDA98C" w14:textId="77777777" w:rsidR="00417FB7" w:rsidRPr="006E7BAE" w:rsidRDefault="002C0558" w:rsidP="008262A3">
            <w:r>
              <w:t>October 12</w:t>
            </w:r>
            <w:r w:rsidR="00543EDD">
              <w:t>, 2023</w:t>
            </w:r>
          </w:p>
        </w:tc>
        <w:tc>
          <w:tcPr>
            <w:tcW w:w="378" w:type="pct"/>
          </w:tcPr>
          <w:p w14:paraId="38DDA98D" w14:textId="77777777" w:rsidR="00417FB7" w:rsidRPr="006E7BAE" w:rsidRDefault="00417FB7" w:rsidP="00382FEC"/>
        </w:tc>
        <w:tc>
          <w:tcPr>
            <w:tcW w:w="2332" w:type="pct"/>
          </w:tcPr>
          <w:p w14:paraId="38DDA98E" w14:textId="77777777" w:rsidR="00417FB7" w:rsidRPr="00D83B8C" w:rsidRDefault="00543EDD" w:rsidP="00B27E2B">
            <w:pPr>
              <w:rPr>
                <w:lang w:val="en-US"/>
              </w:rPr>
            </w:pPr>
            <w:r>
              <w:t xml:space="preserve">Le </w:t>
            </w:r>
            <w:r w:rsidR="002C0558">
              <w:t>12 octobre</w:t>
            </w:r>
            <w:r>
              <w:t xml:space="preserve"> 2023</w:t>
            </w:r>
          </w:p>
        </w:tc>
      </w:tr>
      <w:tr w:rsidR="00E12A51" w:rsidRPr="006E7BAE" w14:paraId="38DDA993" w14:textId="77777777" w:rsidTr="00C130DA">
        <w:tc>
          <w:tcPr>
            <w:tcW w:w="2290" w:type="pct"/>
            <w:tcMar>
              <w:top w:w="0" w:type="dxa"/>
              <w:bottom w:w="0" w:type="dxa"/>
            </w:tcMar>
          </w:tcPr>
          <w:p w14:paraId="38DDA990" w14:textId="77777777" w:rsidR="00C2612E" w:rsidRPr="006E7BAE" w:rsidRDefault="00C2612E" w:rsidP="008262A3"/>
        </w:tc>
        <w:tc>
          <w:tcPr>
            <w:tcW w:w="378" w:type="pct"/>
            <w:tcMar>
              <w:top w:w="0" w:type="dxa"/>
              <w:bottom w:w="0" w:type="dxa"/>
            </w:tcMar>
          </w:tcPr>
          <w:p w14:paraId="38DDA991" w14:textId="77777777" w:rsidR="00E12A51" w:rsidRPr="006E7BAE" w:rsidRDefault="00E12A51" w:rsidP="00382FEC"/>
        </w:tc>
        <w:tc>
          <w:tcPr>
            <w:tcW w:w="2332" w:type="pct"/>
            <w:tcMar>
              <w:top w:w="0" w:type="dxa"/>
              <w:bottom w:w="0" w:type="dxa"/>
            </w:tcMar>
          </w:tcPr>
          <w:p w14:paraId="38DDA99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8DDA9A7" w14:textId="77777777" w:rsidTr="00C130DA">
        <w:tc>
          <w:tcPr>
            <w:tcW w:w="2290" w:type="pct"/>
          </w:tcPr>
          <w:p w14:paraId="38DDA994" w14:textId="77777777" w:rsidR="00067BC5" w:rsidRDefault="00067BC5"/>
          <w:p w14:paraId="38DDA995" w14:textId="77777777" w:rsidR="00190CEB" w:rsidRDefault="00067BC5">
            <w:pPr>
              <w:pStyle w:val="SCCLsocPrefix"/>
            </w:pPr>
            <w:r>
              <w:t>BETWEEN:</w:t>
            </w:r>
          </w:p>
          <w:p w14:paraId="38DDA996" w14:textId="77777777" w:rsidR="00B27E2B" w:rsidRPr="00B27E2B" w:rsidRDefault="00B27E2B" w:rsidP="00B27E2B"/>
          <w:p w14:paraId="38DDA997" w14:textId="77777777" w:rsidR="00190CEB" w:rsidRDefault="00067BC5">
            <w:pPr>
              <w:pStyle w:val="SCCLsocParty"/>
            </w:pPr>
            <w:r>
              <w:t>Cary Beazley</w:t>
            </w:r>
            <w:r>
              <w:br/>
            </w:r>
          </w:p>
          <w:p w14:paraId="38DDA998" w14:textId="77777777" w:rsidR="00190CEB" w:rsidRDefault="00067BC5">
            <w:pPr>
              <w:pStyle w:val="SCCLsocPartyRole"/>
            </w:pPr>
            <w:r>
              <w:t>Applicant</w:t>
            </w:r>
            <w:r>
              <w:br/>
            </w:r>
          </w:p>
          <w:p w14:paraId="38DDA999" w14:textId="77777777" w:rsidR="00190CEB" w:rsidRDefault="00067BC5">
            <w:pPr>
              <w:pStyle w:val="SCCLsocVersus"/>
            </w:pPr>
            <w:r>
              <w:t>- and -</w:t>
            </w:r>
          </w:p>
          <w:p w14:paraId="38DDA99A" w14:textId="77777777" w:rsidR="00190CEB" w:rsidRDefault="00190CEB"/>
          <w:p w14:paraId="38DDA99B" w14:textId="6C9069A5" w:rsidR="00190CEB" w:rsidRDefault="00067BC5">
            <w:pPr>
              <w:pStyle w:val="SCCLsocParty"/>
            </w:pPr>
            <w:r>
              <w:t>Mary Johnston, James Gill, Pravin Shuckle, Kalpesh Raichura, Robert Gauvreau</w:t>
            </w:r>
            <w:r w:rsidR="00636E5D">
              <w:t>, Mariko Hashimoto, Mark </w:t>
            </w:r>
            <w:r>
              <w:t>Trecarten, Baskar Gopalan, Nat</w:t>
            </w:r>
            <w:r w:rsidR="00810BB6">
              <w:t xml:space="preserve">alie Keses, </w:t>
            </w:r>
            <w:r w:rsidR="00B27E2B">
              <w:t>James Ward</w:t>
            </w:r>
            <w:r w:rsidR="00636E5D">
              <w:t xml:space="preserve">, </w:t>
            </w:r>
            <w:r>
              <w:t>Gu</w:t>
            </w:r>
            <w:r w:rsidR="00636E5D">
              <w:t xml:space="preserve">y Hebert, Martin Green, </w:t>
            </w:r>
            <w:r>
              <w:t>Adam Nicholson</w:t>
            </w:r>
            <w:r w:rsidR="00984ED1">
              <w:t>,</w:t>
            </w:r>
            <w:r>
              <w:t xml:space="preserve"> Adam Cohn, Donald H</w:t>
            </w:r>
            <w:r w:rsidR="00B27E2B">
              <w:t>arris, Elizabeth Sc</w:t>
            </w:r>
            <w:r w:rsidR="00636E5D">
              <w:t>ott, Hyman Rabinovitch, Daniel </w:t>
            </w:r>
            <w:r>
              <w:t xml:space="preserve">Chukwu, </w:t>
            </w:r>
            <w:r w:rsidR="00636E5D">
              <w:t xml:space="preserve">Kari Sampsel, </w:t>
            </w:r>
            <w:r>
              <w:t>Getne</w:t>
            </w:r>
            <w:r w:rsidR="00636E5D">
              <w:t xml:space="preserve">t Asrat, Richard Moxon, </w:t>
            </w:r>
            <w:r>
              <w:t>Step</w:t>
            </w:r>
            <w:r w:rsidR="00B27E2B">
              <w:t xml:space="preserve">hen Choi, Jacinda Wong, </w:t>
            </w:r>
            <w:r>
              <w:t>Robert Nichols, Sunil Varghese, David Davidson</w:t>
            </w:r>
            <w:r w:rsidR="00984ED1">
              <w:t>,</w:t>
            </w:r>
            <w:r w:rsidR="001A26C2">
              <w:t xml:space="preserve">  Nina Ramic, Jane Doe, </w:t>
            </w:r>
            <w:r>
              <w:t>John Doe</w:t>
            </w:r>
            <w:r w:rsidR="00984ED1">
              <w:t xml:space="preserve"> and</w:t>
            </w:r>
            <w:r>
              <w:t xml:space="preserve"> Queensway Carleton Hospital</w:t>
            </w:r>
            <w:r>
              <w:br/>
            </w:r>
          </w:p>
          <w:p w14:paraId="38DDA99C" w14:textId="77777777" w:rsidR="00190CEB" w:rsidRDefault="00067BC5">
            <w:pPr>
              <w:pStyle w:val="SCCLsocPartyRole"/>
            </w:pPr>
            <w:r>
              <w:t>Respondents</w:t>
            </w:r>
          </w:p>
        </w:tc>
        <w:tc>
          <w:tcPr>
            <w:tcW w:w="378" w:type="pct"/>
          </w:tcPr>
          <w:p w14:paraId="38DDA99D" w14:textId="77777777" w:rsidR="00824412" w:rsidRPr="006E7BAE" w:rsidRDefault="00824412" w:rsidP="00375294"/>
        </w:tc>
        <w:tc>
          <w:tcPr>
            <w:tcW w:w="2332" w:type="pct"/>
          </w:tcPr>
          <w:p w14:paraId="38DDA99E" w14:textId="77777777" w:rsidR="00190CEB" w:rsidRDefault="00190CEB">
            <w:pPr>
              <w:rPr>
                <w:lang w:val="fr-CA"/>
              </w:rPr>
            </w:pPr>
          </w:p>
          <w:p w14:paraId="38DDA99F" w14:textId="77777777" w:rsidR="00190CEB" w:rsidRDefault="00067BC5">
            <w:pPr>
              <w:pStyle w:val="SCCLsocPrefix"/>
              <w:rPr>
                <w:lang w:val="fr-CA"/>
              </w:rPr>
            </w:pPr>
            <w:r w:rsidRPr="00B2095B">
              <w:rPr>
                <w:lang w:val="fr-CA"/>
              </w:rPr>
              <w:t>ENTRE :</w:t>
            </w:r>
          </w:p>
          <w:p w14:paraId="38DDA9A0" w14:textId="77777777" w:rsidR="00B27E2B" w:rsidRPr="00B27E2B" w:rsidRDefault="00B27E2B" w:rsidP="00B27E2B">
            <w:pPr>
              <w:rPr>
                <w:lang w:val="fr-CA"/>
              </w:rPr>
            </w:pPr>
          </w:p>
          <w:p w14:paraId="38DDA9A1" w14:textId="77777777" w:rsidR="00190CEB" w:rsidRPr="00B2095B" w:rsidRDefault="00067BC5">
            <w:pPr>
              <w:pStyle w:val="SCCLsocParty"/>
              <w:rPr>
                <w:lang w:val="fr-CA"/>
              </w:rPr>
            </w:pPr>
            <w:r w:rsidRPr="00B2095B">
              <w:rPr>
                <w:lang w:val="fr-CA"/>
              </w:rPr>
              <w:t>Cary Beazley</w:t>
            </w:r>
            <w:r w:rsidRPr="00B2095B">
              <w:rPr>
                <w:lang w:val="fr-CA"/>
              </w:rPr>
              <w:br/>
            </w:r>
          </w:p>
          <w:p w14:paraId="38DDA9A2" w14:textId="77777777" w:rsidR="00190CEB" w:rsidRPr="00B2095B" w:rsidRDefault="00067BC5">
            <w:pPr>
              <w:pStyle w:val="SCCLsocPartyRole"/>
              <w:rPr>
                <w:lang w:val="fr-CA"/>
              </w:rPr>
            </w:pPr>
            <w:r w:rsidRPr="00B2095B">
              <w:rPr>
                <w:lang w:val="fr-CA"/>
              </w:rPr>
              <w:t>Demandeur</w:t>
            </w:r>
            <w:r w:rsidRPr="00B2095B">
              <w:rPr>
                <w:lang w:val="fr-CA"/>
              </w:rPr>
              <w:br/>
            </w:r>
          </w:p>
          <w:p w14:paraId="38DDA9A3" w14:textId="77777777" w:rsidR="00190CEB" w:rsidRPr="00B2095B" w:rsidRDefault="00067BC5">
            <w:pPr>
              <w:pStyle w:val="SCCLsocVersus"/>
              <w:rPr>
                <w:lang w:val="fr-CA"/>
              </w:rPr>
            </w:pPr>
            <w:r w:rsidRPr="00B2095B">
              <w:rPr>
                <w:lang w:val="fr-CA"/>
              </w:rPr>
              <w:t>- et -</w:t>
            </w:r>
          </w:p>
          <w:p w14:paraId="38DDA9A4" w14:textId="77777777" w:rsidR="00190CEB" w:rsidRPr="00B2095B" w:rsidRDefault="00190CEB">
            <w:pPr>
              <w:rPr>
                <w:lang w:val="fr-CA"/>
              </w:rPr>
            </w:pPr>
          </w:p>
          <w:p w14:paraId="38DDA9A5" w14:textId="05A16CBD" w:rsidR="00190CEB" w:rsidRDefault="00067BC5">
            <w:pPr>
              <w:pStyle w:val="SCCLsocParty"/>
              <w:rPr>
                <w:lang w:val="fr-CA"/>
              </w:rPr>
            </w:pPr>
            <w:r w:rsidRPr="00DA3B4A">
              <w:rPr>
                <w:lang w:val="fr-CA"/>
              </w:rPr>
              <w:t xml:space="preserve">Mary Johnston, James Gill, Pravin Shuckle, Kalpesh Raichura, </w:t>
            </w:r>
            <w:r w:rsidR="002C0558" w:rsidRPr="00DA3B4A">
              <w:rPr>
                <w:lang w:val="fr-CA"/>
              </w:rPr>
              <w:t xml:space="preserve">Robert Gauvreau, </w:t>
            </w:r>
            <w:r w:rsidR="00636E5D" w:rsidRPr="00DA3B4A">
              <w:rPr>
                <w:lang w:val="fr-CA"/>
              </w:rPr>
              <w:t>Mariko </w:t>
            </w:r>
            <w:r w:rsidRPr="00DA3B4A">
              <w:rPr>
                <w:lang w:val="fr-CA"/>
              </w:rPr>
              <w:t>Has</w:t>
            </w:r>
            <w:r w:rsidR="00636E5D" w:rsidRPr="00DA3B4A">
              <w:rPr>
                <w:lang w:val="fr-CA"/>
              </w:rPr>
              <w:t xml:space="preserve">himoto, Mark Trecarten, </w:t>
            </w:r>
            <w:r w:rsidRPr="00DA3B4A">
              <w:rPr>
                <w:lang w:val="fr-CA"/>
              </w:rPr>
              <w:t xml:space="preserve">Baskar </w:t>
            </w:r>
            <w:r w:rsidR="00636E5D" w:rsidRPr="00DA3B4A">
              <w:rPr>
                <w:lang w:val="fr-CA"/>
              </w:rPr>
              <w:t xml:space="preserve">Gopalan, Natalie Keses, James Ward, Guy Hebert, </w:t>
            </w:r>
            <w:r w:rsidRPr="00DA3B4A">
              <w:rPr>
                <w:lang w:val="fr-CA"/>
              </w:rPr>
              <w:t>Martin Green, Adam Nicholson</w:t>
            </w:r>
            <w:r w:rsidR="00984ED1" w:rsidRPr="00F9655C">
              <w:rPr>
                <w:lang w:val="fr-CA"/>
              </w:rPr>
              <w:t>,</w:t>
            </w:r>
            <w:r w:rsidRPr="00DA3B4A">
              <w:rPr>
                <w:lang w:val="fr-CA"/>
              </w:rPr>
              <w:t xml:space="preserve"> Ad</w:t>
            </w:r>
            <w:r w:rsidR="00636E5D" w:rsidRPr="00DA3B4A">
              <w:rPr>
                <w:lang w:val="fr-CA"/>
              </w:rPr>
              <w:t xml:space="preserve">am Cohn, Donald Harris, Elizabeth Scott, Hyman Rabinovitch, Daniel Chukwu, Kari Sampsel, </w:t>
            </w:r>
            <w:r w:rsidRPr="00DA3B4A">
              <w:rPr>
                <w:lang w:val="fr-CA"/>
              </w:rPr>
              <w:t>Getne</w:t>
            </w:r>
            <w:r w:rsidR="00636E5D" w:rsidRPr="00DA3B4A">
              <w:rPr>
                <w:lang w:val="fr-CA"/>
              </w:rPr>
              <w:t>t Asrat, Richard Moxon, </w:t>
            </w:r>
            <w:r w:rsidRPr="00DA3B4A">
              <w:rPr>
                <w:lang w:val="fr-CA"/>
              </w:rPr>
              <w:t>Step</w:t>
            </w:r>
            <w:r w:rsidR="00636E5D" w:rsidRPr="00DA3B4A">
              <w:rPr>
                <w:lang w:val="fr-CA"/>
              </w:rPr>
              <w:t xml:space="preserve">hen Choi, Jacinda Wong, </w:t>
            </w:r>
            <w:r w:rsidRPr="00DA3B4A">
              <w:rPr>
                <w:lang w:val="fr-CA"/>
              </w:rPr>
              <w:t>Robert N</w:t>
            </w:r>
            <w:r w:rsidR="00636E5D" w:rsidRPr="00DA3B4A">
              <w:rPr>
                <w:lang w:val="fr-CA"/>
              </w:rPr>
              <w:t xml:space="preserve">ichols, Sunil Varghese, </w:t>
            </w:r>
            <w:r w:rsidRPr="00DA3B4A">
              <w:rPr>
                <w:lang w:val="fr-CA"/>
              </w:rPr>
              <w:t>David Davidson</w:t>
            </w:r>
            <w:r w:rsidR="00984ED1" w:rsidRPr="00F9655C">
              <w:rPr>
                <w:lang w:val="fr-CA"/>
              </w:rPr>
              <w:t>,</w:t>
            </w:r>
            <w:r w:rsidRPr="00DA3B4A">
              <w:rPr>
                <w:lang w:val="fr-CA"/>
              </w:rPr>
              <w:t xml:space="preserve"> Nina Ramic, Jane </w:t>
            </w:r>
            <w:r w:rsidR="001A26C2">
              <w:rPr>
                <w:lang w:val="fr-CA"/>
              </w:rPr>
              <w:t xml:space="preserve">Doe, </w:t>
            </w:r>
            <w:r w:rsidR="00636E5D" w:rsidRPr="00DA3B4A">
              <w:rPr>
                <w:lang w:val="fr-CA"/>
              </w:rPr>
              <w:t>John Doe</w:t>
            </w:r>
            <w:r w:rsidR="00984ED1" w:rsidRPr="00F9655C">
              <w:rPr>
                <w:lang w:val="fr-CA"/>
              </w:rPr>
              <w:t xml:space="preserve"> et </w:t>
            </w:r>
            <w:r w:rsidR="00636E5D" w:rsidRPr="00DA3B4A">
              <w:rPr>
                <w:lang w:val="fr-CA"/>
              </w:rPr>
              <w:t>Queensway </w:t>
            </w:r>
            <w:r w:rsidRPr="00DA3B4A">
              <w:rPr>
                <w:lang w:val="fr-CA"/>
              </w:rPr>
              <w:t>Carleton Hospital</w:t>
            </w:r>
            <w:r w:rsidRPr="00DA3B4A">
              <w:rPr>
                <w:lang w:val="fr-CA"/>
              </w:rPr>
              <w:br/>
            </w:r>
          </w:p>
          <w:p w14:paraId="594CC190" w14:textId="77777777" w:rsidR="00265BBE" w:rsidRPr="00DA3B4A" w:rsidRDefault="00265BBE" w:rsidP="00F9655C">
            <w:pPr>
              <w:rPr>
                <w:lang w:val="fr-CA"/>
              </w:rPr>
            </w:pPr>
          </w:p>
          <w:p w14:paraId="38DDA9A6" w14:textId="77777777" w:rsidR="00190CEB" w:rsidRDefault="00067BC5" w:rsidP="00B27E2B">
            <w:pPr>
              <w:pStyle w:val="SCCLsocPartyRole"/>
            </w:pPr>
            <w:r>
              <w:t>Intimés</w:t>
            </w:r>
          </w:p>
        </w:tc>
      </w:tr>
      <w:tr w:rsidR="00824412" w:rsidRPr="006E7BAE" w14:paraId="38DDA9AB" w14:textId="77777777" w:rsidTr="00C130DA">
        <w:tc>
          <w:tcPr>
            <w:tcW w:w="2290" w:type="pct"/>
            <w:tcMar>
              <w:top w:w="0" w:type="dxa"/>
              <w:bottom w:w="0" w:type="dxa"/>
            </w:tcMar>
          </w:tcPr>
          <w:p w14:paraId="38DDA9A8" w14:textId="77777777" w:rsidR="00824412" w:rsidRPr="006E7BAE" w:rsidRDefault="00824412" w:rsidP="00375294"/>
        </w:tc>
        <w:tc>
          <w:tcPr>
            <w:tcW w:w="378" w:type="pct"/>
            <w:tcMar>
              <w:top w:w="0" w:type="dxa"/>
              <w:bottom w:w="0" w:type="dxa"/>
            </w:tcMar>
          </w:tcPr>
          <w:p w14:paraId="38DDA9A9" w14:textId="77777777" w:rsidR="00824412" w:rsidRPr="006E7BAE" w:rsidRDefault="00824412" w:rsidP="00375294"/>
        </w:tc>
        <w:tc>
          <w:tcPr>
            <w:tcW w:w="2332" w:type="pct"/>
            <w:tcMar>
              <w:top w:w="0" w:type="dxa"/>
              <w:bottom w:w="0" w:type="dxa"/>
            </w:tcMar>
          </w:tcPr>
          <w:p w14:paraId="38DDA9A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A26C2" w14:paraId="38DDA9B4" w14:textId="77777777" w:rsidTr="00C130DA">
        <w:tc>
          <w:tcPr>
            <w:tcW w:w="2290" w:type="pct"/>
          </w:tcPr>
          <w:p w14:paraId="70AA8455" w14:textId="77777777" w:rsidR="00265BBE" w:rsidRDefault="00265BBE" w:rsidP="00C2612E">
            <w:pPr>
              <w:jc w:val="center"/>
            </w:pPr>
          </w:p>
          <w:p w14:paraId="58A3949B" w14:textId="77777777" w:rsidR="00265BBE" w:rsidRDefault="00265BBE" w:rsidP="00C2612E">
            <w:pPr>
              <w:jc w:val="center"/>
            </w:pPr>
          </w:p>
          <w:p w14:paraId="1688F586" w14:textId="77777777" w:rsidR="00265BBE" w:rsidRDefault="00265BBE" w:rsidP="00C2612E">
            <w:pPr>
              <w:jc w:val="center"/>
            </w:pPr>
          </w:p>
          <w:p w14:paraId="1F3FC8C8" w14:textId="77777777" w:rsidR="00265BBE" w:rsidRDefault="00265BBE" w:rsidP="00C2612E">
            <w:pPr>
              <w:jc w:val="center"/>
            </w:pPr>
          </w:p>
          <w:p w14:paraId="38DDA9AC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38DDA9AD" w14:textId="77777777" w:rsidR="00824412" w:rsidRPr="006E7BAE" w:rsidRDefault="00824412" w:rsidP="00417FB7">
            <w:pPr>
              <w:jc w:val="center"/>
            </w:pPr>
          </w:p>
          <w:p w14:paraId="38DDA9AE" w14:textId="09F9BCC3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B27E2B">
              <w:t>C</w:t>
            </w:r>
            <w:r w:rsidR="00DA3B4A">
              <w:t>OA</w:t>
            </w:r>
            <w:r w:rsidR="00B27E2B">
              <w:t>-</w:t>
            </w:r>
            <w:r w:rsidR="00DA3B4A">
              <w:t>22-</w:t>
            </w:r>
            <w:r w:rsidR="00B27E2B">
              <w:t>OM-0059</w:t>
            </w:r>
            <w:r w:rsidRPr="006E7BAE">
              <w:t xml:space="preserve">, dated </w:t>
            </w:r>
            <w:r w:rsidR="00C130DA">
              <w:t xml:space="preserve">February 21, </w:t>
            </w:r>
            <w:r>
              <w:t>2023</w:t>
            </w:r>
            <w:r w:rsidR="00265BBE">
              <w:t>,</w:t>
            </w:r>
            <w:r w:rsidR="00C130DA">
              <w:t xml:space="preserve"> is dismissed</w:t>
            </w:r>
            <w:r w:rsidRPr="006E7BAE">
              <w:t>.</w:t>
            </w:r>
          </w:p>
          <w:p w14:paraId="38DDA9AF" w14:textId="77777777" w:rsidR="003F6511" w:rsidRPr="006E7BAE" w:rsidRDefault="003F6511" w:rsidP="00011960">
            <w:pPr>
              <w:jc w:val="both"/>
            </w:pPr>
          </w:p>
        </w:tc>
        <w:tc>
          <w:tcPr>
            <w:tcW w:w="378" w:type="pct"/>
          </w:tcPr>
          <w:p w14:paraId="38DDA9B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32" w:type="pct"/>
          </w:tcPr>
          <w:p w14:paraId="6D0675D9" w14:textId="77777777" w:rsidR="00265BBE" w:rsidRPr="00F9655C" w:rsidRDefault="00265BBE" w:rsidP="00C2612E">
            <w:pPr>
              <w:jc w:val="center"/>
              <w:rPr>
                <w:lang w:val="en-US"/>
              </w:rPr>
            </w:pPr>
          </w:p>
          <w:p w14:paraId="2BE3F3D4" w14:textId="77777777" w:rsidR="00265BBE" w:rsidRPr="00F9655C" w:rsidRDefault="00265BBE" w:rsidP="00C2612E">
            <w:pPr>
              <w:jc w:val="center"/>
              <w:rPr>
                <w:lang w:val="en-US"/>
              </w:rPr>
            </w:pPr>
          </w:p>
          <w:p w14:paraId="630DD85E" w14:textId="77777777" w:rsidR="00265BBE" w:rsidRPr="00F9655C" w:rsidRDefault="00265BBE" w:rsidP="00C2612E">
            <w:pPr>
              <w:jc w:val="center"/>
              <w:rPr>
                <w:lang w:val="en-US"/>
              </w:rPr>
            </w:pPr>
          </w:p>
          <w:p w14:paraId="25326B83" w14:textId="77777777" w:rsidR="00265BBE" w:rsidRPr="00F9655C" w:rsidRDefault="00265BBE" w:rsidP="00C2612E">
            <w:pPr>
              <w:jc w:val="center"/>
              <w:rPr>
                <w:lang w:val="en-US"/>
              </w:rPr>
            </w:pPr>
          </w:p>
          <w:p w14:paraId="38DDA9B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lastRenderedPageBreak/>
              <w:t>JUGEMENT</w:t>
            </w:r>
          </w:p>
          <w:p w14:paraId="38DDA9B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8DDA9B3" w14:textId="326D5ACA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2095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B27E2B">
              <w:rPr>
                <w:lang w:val="fr-CA"/>
              </w:rPr>
              <w:t>C</w:t>
            </w:r>
            <w:r w:rsidR="00DA3B4A">
              <w:rPr>
                <w:lang w:val="fr-CA"/>
              </w:rPr>
              <w:t>OA-</w:t>
            </w:r>
            <w:r w:rsidR="00B27E2B">
              <w:rPr>
                <w:lang w:val="fr-CA"/>
              </w:rPr>
              <w:t xml:space="preserve">22-OM-0059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2095B">
              <w:rPr>
                <w:lang w:val="fr-CA"/>
              </w:rPr>
              <w:t>21 février 2023</w:t>
            </w:r>
            <w:r w:rsidR="00C130DA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8DDA9B5" w14:textId="77777777" w:rsidR="009F436C" w:rsidRPr="00D83B8C" w:rsidRDefault="009F436C" w:rsidP="00382FEC">
      <w:pPr>
        <w:rPr>
          <w:lang w:val="fr-CA"/>
        </w:rPr>
      </w:pPr>
    </w:p>
    <w:p w14:paraId="38DDA9B6" w14:textId="77777777" w:rsidR="009F436C" w:rsidRDefault="009F436C" w:rsidP="00417FB7">
      <w:pPr>
        <w:jc w:val="center"/>
        <w:rPr>
          <w:lang w:val="fr-CA"/>
        </w:rPr>
      </w:pPr>
    </w:p>
    <w:p w14:paraId="38DDA9B7" w14:textId="77777777" w:rsidR="00B27E2B" w:rsidRDefault="00B27E2B" w:rsidP="00417FB7">
      <w:pPr>
        <w:jc w:val="center"/>
        <w:rPr>
          <w:lang w:val="fr-CA"/>
        </w:rPr>
      </w:pPr>
    </w:p>
    <w:p w14:paraId="07658CFE" w14:textId="77777777" w:rsidR="00DA3B4A" w:rsidRDefault="00DA3B4A" w:rsidP="00417FB7">
      <w:pPr>
        <w:jc w:val="center"/>
        <w:rPr>
          <w:lang w:val="fr-CA"/>
        </w:rPr>
      </w:pPr>
    </w:p>
    <w:p w14:paraId="5DDE9841" w14:textId="77777777" w:rsidR="00DA3B4A" w:rsidRDefault="00DA3B4A" w:rsidP="00417FB7">
      <w:pPr>
        <w:jc w:val="center"/>
        <w:rPr>
          <w:lang w:val="fr-CA"/>
        </w:rPr>
      </w:pPr>
    </w:p>
    <w:p w14:paraId="38DDA9B8" w14:textId="77777777" w:rsidR="00B27E2B" w:rsidRPr="00D83B8C" w:rsidRDefault="00B27E2B" w:rsidP="00417FB7">
      <w:pPr>
        <w:jc w:val="center"/>
        <w:rPr>
          <w:lang w:val="fr-CA"/>
        </w:rPr>
      </w:pPr>
    </w:p>
    <w:p w14:paraId="38DDA9B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8DDA9BA" w14:textId="77777777" w:rsidR="003A37CF" w:rsidRPr="00D83B8C" w:rsidRDefault="003A37CF" w:rsidP="00B27E2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DA9BD" w14:textId="77777777" w:rsidR="00983D48" w:rsidRDefault="00983D48">
      <w:r>
        <w:separator/>
      </w:r>
    </w:p>
  </w:endnote>
  <w:endnote w:type="continuationSeparator" w:id="0">
    <w:p w14:paraId="38DDA9B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DA9BB" w14:textId="77777777" w:rsidR="00983D48" w:rsidRDefault="00983D48">
      <w:r>
        <w:separator/>
      </w:r>
    </w:p>
  </w:footnote>
  <w:footnote w:type="continuationSeparator" w:id="0">
    <w:p w14:paraId="38DDA9B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9B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07F5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8DDA9C0" w14:textId="77777777" w:rsidR="008F53F3" w:rsidRDefault="008F53F3" w:rsidP="008F53F3">
    <w:pPr>
      <w:rPr>
        <w:szCs w:val="24"/>
      </w:rPr>
    </w:pPr>
  </w:p>
  <w:p w14:paraId="38DDA9C1" w14:textId="77777777" w:rsidR="008F53F3" w:rsidRDefault="008F53F3" w:rsidP="008F53F3">
    <w:pPr>
      <w:rPr>
        <w:szCs w:val="24"/>
      </w:rPr>
    </w:pPr>
  </w:p>
  <w:p w14:paraId="38DDA9C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40726</w:t>
    </w:r>
    <w:r>
      <w:rPr>
        <w:szCs w:val="24"/>
      </w:rPr>
      <w:t>     </w:t>
    </w:r>
  </w:p>
  <w:p w14:paraId="38DDA9C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8DDA9C4" w14:textId="77777777" w:rsidR="0073151A" w:rsidRDefault="0073151A" w:rsidP="0073151A"/>
      <w:p w14:paraId="38DDA9C5" w14:textId="77777777" w:rsidR="0073151A" w:rsidRPr="006E7BAE" w:rsidRDefault="0073151A" w:rsidP="0073151A"/>
      <w:p w14:paraId="38DDA9C6" w14:textId="77777777" w:rsidR="0073151A" w:rsidRPr="006E7BAE" w:rsidRDefault="0073151A" w:rsidP="0073151A"/>
      <w:p w14:paraId="38DDA9C7" w14:textId="77777777" w:rsidR="0073151A" w:rsidRPr="006E7BAE" w:rsidRDefault="0073151A" w:rsidP="0073151A"/>
      <w:p w14:paraId="38DDA9C8" w14:textId="77777777" w:rsidR="0073151A" w:rsidRDefault="0073151A" w:rsidP="0073151A"/>
      <w:p w14:paraId="38DDA9C9" w14:textId="77777777" w:rsidR="0073151A" w:rsidRDefault="0073151A" w:rsidP="0073151A"/>
      <w:p w14:paraId="38DDA9CA" w14:textId="77777777" w:rsidR="0073151A" w:rsidRDefault="0073151A" w:rsidP="0073151A"/>
      <w:p w14:paraId="38DDA9CB" w14:textId="77777777" w:rsidR="0073151A" w:rsidRDefault="0073151A" w:rsidP="0073151A"/>
      <w:p w14:paraId="38DDA9CC" w14:textId="77777777" w:rsidR="0073151A" w:rsidRDefault="0073151A" w:rsidP="0073151A"/>
      <w:p w14:paraId="38DDA9CD" w14:textId="77777777" w:rsidR="0073151A" w:rsidRPr="006E7BAE" w:rsidRDefault="0073151A" w:rsidP="0073151A"/>
      <w:p w14:paraId="38DDA9CE" w14:textId="77777777" w:rsidR="00ED265D" w:rsidRPr="0073151A" w:rsidRDefault="00307F5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7BC5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90CEB"/>
    <w:rsid w:val="001A26C2"/>
    <w:rsid w:val="001B3EC0"/>
    <w:rsid w:val="001D0116"/>
    <w:rsid w:val="001D4323"/>
    <w:rsid w:val="001E1079"/>
    <w:rsid w:val="00203642"/>
    <w:rsid w:val="00212BA0"/>
    <w:rsid w:val="002523DE"/>
    <w:rsid w:val="002568D3"/>
    <w:rsid w:val="00265BBE"/>
    <w:rsid w:val="0027284C"/>
    <w:rsid w:val="002B5FA6"/>
    <w:rsid w:val="002C0558"/>
    <w:rsid w:val="002C6423"/>
    <w:rsid w:val="002D2D44"/>
    <w:rsid w:val="00307F5B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36E5D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0BB6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84ED1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2095B"/>
    <w:rsid w:val="00B27E2B"/>
    <w:rsid w:val="00B328CD"/>
    <w:rsid w:val="00B408F8"/>
    <w:rsid w:val="00B5078E"/>
    <w:rsid w:val="00B60EDC"/>
    <w:rsid w:val="00BC39BE"/>
    <w:rsid w:val="00BD4E4C"/>
    <w:rsid w:val="00BF7644"/>
    <w:rsid w:val="00C1285B"/>
    <w:rsid w:val="00C130DA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3B4A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655C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8DDA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15169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2023-10-12T04:00:00+00:00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BC5ED2F-2B89-4156-BD69-B104F32AB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96A42-A95A-4B71-9E65-03014DBFB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AFB83-471C-4CB9-B9AF-B2FC763D92C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2023-10-10T14:23:00Z</dcterms:created>
  <dcterms:modified xsi:type="dcterms:W3CDTF">2023-10-10T14:23:00Z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