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2DAC" w14:textId="77777777" w:rsidR="009F436C" w:rsidRPr="001E26DB" w:rsidRDefault="00BD2A96" w:rsidP="00346768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40821</w:t>
      </w:r>
      <w:r w:rsidR="00E81C0B" w:rsidRPr="001E26DB">
        <w:t>     </w:t>
      </w:r>
    </w:p>
    <w:p w14:paraId="7FB32DA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B32DB2" w14:textId="77777777" w:rsidTr="00B37A52">
        <w:tc>
          <w:tcPr>
            <w:tcW w:w="2269" w:type="pct"/>
          </w:tcPr>
          <w:p w14:paraId="7FB32DAF" w14:textId="77777777" w:rsidR="00417FB7" w:rsidRPr="001E26DB" w:rsidRDefault="0062554E" w:rsidP="00645A52">
            <w:r>
              <w:t xml:space="preserve">Le </w:t>
            </w:r>
            <w:r w:rsidR="00EA241D">
              <w:t>8 février</w:t>
            </w:r>
            <w:r>
              <w:t xml:space="preserve"> 202</w:t>
            </w:r>
            <w:r w:rsidR="00645A52">
              <w:t>4</w:t>
            </w:r>
          </w:p>
        </w:tc>
        <w:tc>
          <w:tcPr>
            <w:tcW w:w="381" w:type="pct"/>
          </w:tcPr>
          <w:p w14:paraId="7FB32DB0" w14:textId="77777777" w:rsidR="00417FB7" w:rsidRPr="001E26DB" w:rsidRDefault="00417FB7" w:rsidP="00382FEC"/>
        </w:tc>
        <w:tc>
          <w:tcPr>
            <w:tcW w:w="2350" w:type="pct"/>
          </w:tcPr>
          <w:p w14:paraId="7FB32DB1" w14:textId="77777777" w:rsidR="00417FB7" w:rsidRPr="001E26DB" w:rsidRDefault="00EA241D" w:rsidP="00645A52">
            <w:pPr>
              <w:rPr>
                <w:lang w:val="en-CA"/>
              </w:rPr>
            </w:pPr>
            <w:r>
              <w:t>February 8</w:t>
            </w:r>
            <w:r w:rsidR="0062554E">
              <w:t>, 202</w:t>
            </w:r>
            <w:r w:rsidR="00645A52">
              <w:t>4</w:t>
            </w:r>
          </w:p>
        </w:tc>
      </w:tr>
      <w:tr w:rsidR="00C2612E" w:rsidRPr="0062554E" w14:paraId="7FB32DB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B32DB3" w14:textId="77777777" w:rsidR="00C2612E" w:rsidRPr="007C1392" w:rsidRDefault="00C2612E" w:rsidP="008262A3">
            <w:pPr>
              <w:rPr>
                <w:sz w:val="22"/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B32DB4" w14:textId="77777777" w:rsidR="00C2612E" w:rsidRPr="007C1392" w:rsidRDefault="00C2612E" w:rsidP="00382FEC">
            <w:pPr>
              <w:rPr>
                <w:sz w:val="22"/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B32DB5" w14:textId="77777777" w:rsidR="00C2612E" w:rsidRPr="007C1392" w:rsidRDefault="00C2612E" w:rsidP="00382FEC">
            <w:pPr>
              <w:rPr>
                <w:sz w:val="22"/>
                <w:lang w:val="en-CA"/>
              </w:rPr>
            </w:pPr>
          </w:p>
        </w:tc>
      </w:tr>
      <w:tr w:rsidR="00824412" w:rsidRPr="0062554E" w14:paraId="7FB32DCA" w14:textId="77777777" w:rsidTr="006A1E6D">
        <w:tc>
          <w:tcPr>
            <w:tcW w:w="2269" w:type="pct"/>
          </w:tcPr>
          <w:p w14:paraId="7FB32DB8" w14:textId="77777777" w:rsidR="003628F0" w:rsidRDefault="00645A52">
            <w:pPr>
              <w:pStyle w:val="SCCLsocPrefix"/>
            </w:pPr>
            <w:r>
              <w:t>ENTRE :</w:t>
            </w:r>
          </w:p>
          <w:p w14:paraId="7FB32DB9" w14:textId="77777777" w:rsidR="00645A52" w:rsidRPr="00645A52" w:rsidRDefault="00645A52" w:rsidP="00645A52"/>
          <w:p w14:paraId="7FB32DBA" w14:textId="77777777" w:rsidR="003628F0" w:rsidRDefault="00645A52">
            <w:pPr>
              <w:pStyle w:val="SCCLsocParty"/>
            </w:pPr>
            <w:r>
              <w:t>Dax Ste-Marie et Mélanie Ste-Marie</w:t>
            </w:r>
            <w:r>
              <w:br/>
            </w:r>
          </w:p>
          <w:p w14:paraId="7FB32DBB" w14:textId="77777777" w:rsidR="003628F0" w:rsidRDefault="00645A52">
            <w:pPr>
              <w:pStyle w:val="SCCLsocPartyRole"/>
            </w:pPr>
            <w:r>
              <w:t>Demandeurs</w:t>
            </w:r>
            <w:r>
              <w:br/>
            </w:r>
          </w:p>
          <w:p w14:paraId="7FB32DBC" w14:textId="77777777" w:rsidR="003628F0" w:rsidRDefault="00645A52">
            <w:pPr>
              <w:pStyle w:val="SCCLsocVersus"/>
            </w:pPr>
            <w:r>
              <w:t>- et -</w:t>
            </w:r>
          </w:p>
          <w:p w14:paraId="7FB32DBD" w14:textId="77777777" w:rsidR="003628F0" w:rsidRDefault="003628F0"/>
          <w:p w14:paraId="7FB32DBE" w14:textId="77777777" w:rsidR="003628F0" w:rsidRDefault="00645A52">
            <w:pPr>
              <w:pStyle w:val="SCCLsocParty"/>
            </w:pPr>
            <w:r>
              <w:t>Sa Majesté le Roi</w:t>
            </w:r>
            <w:r>
              <w:br/>
            </w:r>
          </w:p>
          <w:p w14:paraId="7FB32DBF" w14:textId="77777777" w:rsidR="003628F0" w:rsidRDefault="00645A52" w:rsidP="00645A5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FB32DC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B32DC2" w14:textId="77777777" w:rsidR="003628F0" w:rsidRDefault="00645A52">
            <w:pPr>
              <w:pStyle w:val="SCCLsocPrefix"/>
            </w:pPr>
            <w:r>
              <w:t>BETWEEN:</w:t>
            </w:r>
          </w:p>
          <w:p w14:paraId="7FB32DC3" w14:textId="77777777" w:rsidR="00645A52" w:rsidRPr="00645A52" w:rsidRDefault="00645A52" w:rsidP="00645A52"/>
          <w:p w14:paraId="7FB32DC4" w14:textId="77777777" w:rsidR="003628F0" w:rsidRDefault="00645A52">
            <w:pPr>
              <w:pStyle w:val="SCCLsocParty"/>
            </w:pPr>
            <w:r>
              <w:t>Dax Ste-Marie and Mélanie Ste-Marie</w:t>
            </w:r>
            <w:r>
              <w:br/>
            </w:r>
          </w:p>
          <w:p w14:paraId="7FB32DC5" w14:textId="77777777" w:rsidR="003628F0" w:rsidRPr="00935BD5" w:rsidRDefault="00645A52">
            <w:pPr>
              <w:pStyle w:val="SCCLsocPartyRole"/>
            </w:pPr>
            <w:r w:rsidRPr="00935BD5">
              <w:t>Applicants</w:t>
            </w:r>
            <w:r w:rsidRPr="00935BD5">
              <w:br/>
            </w:r>
          </w:p>
          <w:p w14:paraId="7FB32DC6" w14:textId="77777777" w:rsidR="003628F0" w:rsidRPr="00645A52" w:rsidRDefault="00645A52">
            <w:pPr>
              <w:pStyle w:val="SCCLsocVersus"/>
              <w:rPr>
                <w:lang w:val="en-CA"/>
              </w:rPr>
            </w:pPr>
            <w:r w:rsidRPr="00645A52">
              <w:rPr>
                <w:lang w:val="en-CA"/>
              </w:rPr>
              <w:t>- and -</w:t>
            </w:r>
          </w:p>
          <w:p w14:paraId="7FB32DC7" w14:textId="77777777" w:rsidR="003628F0" w:rsidRPr="00645A52" w:rsidRDefault="003628F0">
            <w:pPr>
              <w:rPr>
                <w:lang w:val="en-CA"/>
              </w:rPr>
            </w:pPr>
          </w:p>
          <w:p w14:paraId="7FB32DC8" w14:textId="77777777" w:rsidR="003628F0" w:rsidRPr="00645A52" w:rsidRDefault="00645A52">
            <w:pPr>
              <w:pStyle w:val="SCCLsocParty"/>
              <w:rPr>
                <w:lang w:val="en-CA"/>
              </w:rPr>
            </w:pPr>
            <w:r w:rsidRPr="00645A52">
              <w:rPr>
                <w:lang w:val="en-CA"/>
              </w:rPr>
              <w:t>His Majesty the King</w:t>
            </w:r>
            <w:r w:rsidRPr="00645A52">
              <w:rPr>
                <w:lang w:val="en-CA"/>
              </w:rPr>
              <w:br/>
            </w:r>
          </w:p>
          <w:p w14:paraId="7FB32DC9" w14:textId="77777777" w:rsidR="003628F0" w:rsidRDefault="00645A5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FB32DC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B32DCB" w14:textId="77777777" w:rsidR="00824412" w:rsidRPr="007C1392" w:rsidRDefault="00824412" w:rsidP="00375294">
            <w:pPr>
              <w:rPr>
                <w:sz w:val="22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B32DCC" w14:textId="77777777" w:rsidR="00824412" w:rsidRPr="007C1392" w:rsidRDefault="00824412" w:rsidP="00375294">
            <w:pPr>
              <w:rPr>
                <w:sz w:val="22"/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B32DCD" w14:textId="77777777" w:rsidR="00824412" w:rsidRPr="007C1392" w:rsidRDefault="00824412" w:rsidP="00B408F8">
            <w:pPr>
              <w:rPr>
                <w:sz w:val="22"/>
                <w:lang w:val="en-CA"/>
              </w:rPr>
            </w:pPr>
          </w:p>
        </w:tc>
      </w:tr>
      <w:tr w:rsidR="00824412" w:rsidRPr="007C1392" w14:paraId="7FB32DD8" w14:textId="77777777" w:rsidTr="00B37A52">
        <w:tc>
          <w:tcPr>
            <w:tcW w:w="2269" w:type="pct"/>
          </w:tcPr>
          <w:p w14:paraId="7FB32DC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B32DD0" w14:textId="77777777" w:rsidR="0027081E" w:rsidRPr="001E26DB" w:rsidRDefault="0027081E" w:rsidP="0027081E">
            <w:pPr>
              <w:jc w:val="center"/>
            </w:pPr>
          </w:p>
          <w:p w14:paraId="7FB32DD1" w14:textId="582440F9" w:rsidR="00824412" w:rsidRDefault="00935BD5" w:rsidP="00B9566E">
            <w:pPr>
              <w:jc w:val="both"/>
            </w:pPr>
            <w:r w:rsidRPr="002E5CBB">
              <w:t xml:space="preserve">La requête en prorogation du délai </w:t>
            </w:r>
            <w:r w:rsidR="00BF4FA2">
              <w:t>pour la</w:t>
            </w:r>
            <w:r w:rsidR="00BF4FA2" w:rsidRPr="002E5CBB">
              <w:t xml:space="preserve"> </w:t>
            </w:r>
            <w:r w:rsidRPr="002E5CBB">
              <w:t xml:space="preserve">signification et </w:t>
            </w:r>
            <w:r w:rsidR="00BF4FA2">
              <w:t>le</w:t>
            </w:r>
            <w:r w:rsidR="00BF4FA2" w:rsidRPr="002E5CBB">
              <w:t xml:space="preserve"> </w:t>
            </w:r>
            <w:r w:rsidRPr="002E5CBB">
              <w:t>dépôt de la demande d’autorisation d’appel est accueillie.</w:t>
            </w:r>
            <w:r>
              <w:t xml:space="preserve"> </w:t>
            </w:r>
            <w:r w:rsidR="007D22AD">
              <w:t xml:space="preserve">La requête visant à obtenir une ordonnance de mise sous scellés </w:t>
            </w:r>
            <w:r w:rsidR="008C10FD">
              <w:t>de</w:t>
            </w:r>
            <w:r w:rsidR="007D22AD">
              <w:t xml:space="preserve"> la requête en prorogation du délai </w:t>
            </w:r>
            <w:r w:rsidR="00193118" w:rsidRPr="002E5CBB">
              <w:t>de la demande d’autorisation d’appel</w:t>
            </w:r>
            <w:r w:rsidR="00193118">
              <w:t xml:space="preserve"> </w:t>
            </w:r>
            <w:r w:rsidR="007D22AD">
              <w:t xml:space="preserve">est accueillie. </w:t>
            </w:r>
            <w:r w:rsidR="00046917">
              <w:t xml:space="preserve">La requête </w:t>
            </w:r>
            <w:r w:rsidR="00B9566E">
              <w:t xml:space="preserve">pour déposer </w:t>
            </w:r>
            <w:r w:rsidR="00046917">
              <w:t xml:space="preserve">de nouveaux éléments de preuve est rejetée. </w:t>
            </w:r>
            <w:r w:rsidR="0027081E" w:rsidRPr="001E26DB">
              <w:t>La</w:t>
            </w:r>
            <w:r w:rsidR="00B9566E">
              <w:t xml:space="preserve"> </w:t>
            </w:r>
            <w:r w:rsidR="0027081E" w:rsidRPr="001E26DB">
              <w:t xml:space="preserve">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B9566E">
              <w:t>s 500-10-006180-168, 500-10-006181-166, 500-10-006182-164 et 500-10-006190-167,</w:t>
            </w:r>
            <w:r w:rsidR="0027081E" w:rsidRPr="001E26DB">
              <w:t xml:space="preserve"> </w:t>
            </w:r>
            <w:r w:rsidR="0027081E">
              <w:t>2022 QCCA 1137</w:t>
            </w:r>
            <w:r w:rsidR="0027081E" w:rsidRPr="001E26DB">
              <w:t xml:space="preserve">, daté du </w:t>
            </w:r>
            <w:r w:rsidR="0027081E">
              <w:t>22 août 2022</w:t>
            </w:r>
            <w:r w:rsidR="007D22AD">
              <w:t>, est rejetée</w:t>
            </w:r>
            <w:r w:rsidR="0027081E" w:rsidRPr="001E26DB">
              <w:t>.</w:t>
            </w:r>
          </w:p>
          <w:p w14:paraId="7FB32DD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B32DD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B32D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B32D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B32DD6" w14:textId="01DD66A1" w:rsidR="00824412" w:rsidRDefault="00935BD5" w:rsidP="006C1359">
            <w:pPr>
              <w:jc w:val="both"/>
              <w:rPr>
                <w:lang w:val="en-CA"/>
              </w:rPr>
            </w:pPr>
            <w:r w:rsidRPr="00935BD5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7D22AD">
              <w:rPr>
                <w:lang w:val="en-CA"/>
              </w:rPr>
              <w:t xml:space="preserve">The motion for a sealing order </w:t>
            </w:r>
            <w:r w:rsidR="008C10FD">
              <w:rPr>
                <w:lang w:val="en-CA"/>
              </w:rPr>
              <w:t>of</w:t>
            </w:r>
            <w:r w:rsidR="007D22AD">
              <w:rPr>
                <w:lang w:val="en-CA"/>
              </w:rPr>
              <w:t xml:space="preserve"> the motion for an extension of time </w:t>
            </w:r>
            <w:r w:rsidR="00193118">
              <w:rPr>
                <w:lang w:val="en-CA"/>
              </w:rPr>
              <w:t xml:space="preserve">of </w:t>
            </w:r>
            <w:r w:rsidR="00193118" w:rsidRPr="00935BD5">
              <w:rPr>
                <w:lang w:val="en-CA"/>
              </w:rPr>
              <w:t xml:space="preserve">the application for leave to appeal </w:t>
            </w:r>
            <w:r w:rsidR="007D22AD">
              <w:rPr>
                <w:lang w:val="en-CA"/>
              </w:rPr>
              <w:t xml:space="preserve">is granted. </w:t>
            </w:r>
            <w:r w:rsidR="00044D6F">
              <w:rPr>
                <w:lang w:val="en-CA"/>
              </w:rPr>
              <w:t xml:space="preserve">The motion to adduce new evidence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45A52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B9566E">
              <w:rPr>
                <w:lang w:val="en-CA"/>
              </w:rPr>
              <w:t xml:space="preserve">s </w:t>
            </w:r>
            <w:r w:rsidR="00B9566E" w:rsidRPr="007C1392">
              <w:rPr>
                <w:lang w:val="en-US"/>
              </w:rPr>
              <w:t>500-10-006180-168, 500-10-006181-166, 500-10-006182-164</w:t>
            </w:r>
            <w:r w:rsidR="00B9566E">
              <w:rPr>
                <w:lang w:val="en-US"/>
              </w:rPr>
              <w:t xml:space="preserve"> and </w:t>
            </w:r>
            <w:r w:rsidR="00B9566E" w:rsidRPr="007C1392">
              <w:rPr>
                <w:lang w:val="en-US"/>
              </w:rPr>
              <w:t>500-10-006190-167,</w:t>
            </w:r>
            <w:r w:rsidR="00B9566E">
              <w:rPr>
                <w:lang w:val="en-US"/>
              </w:rPr>
              <w:t xml:space="preserve">  </w:t>
            </w:r>
            <w:r w:rsidR="0027081E" w:rsidRPr="00645A52">
              <w:rPr>
                <w:lang w:val="en-CA"/>
              </w:rPr>
              <w:t>2022 QCCA 1137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45A52">
              <w:rPr>
                <w:lang w:val="en-CA"/>
              </w:rPr>
              <w:t>August 22, 2022</w:t>
            </w:r>
            <w:r w:rsidR="00B9566E">
              <w:rPr>
                <w:lang w:val="en-CA"/>
              </w:rPr>
              <w:t>,</w:t>
            </w:r>
            <w:r w:rsidR="007D22AD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</w:p>
          <w:p w14:paraId="7FB32DD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B32DD9" w14:textId="77777777" w:rsidR="00655333" w:rsidRDefault="00655333" w:rsidP="00655333">
      <w:pPr>
        <w:jc w:val="center"/>
        <w:rPr>
          <w:lang w:val="en-CA"/>
        </w:rPr>
      </w:pPr>
    </w:p>
    <w:p w14:paraId="2D5A137C" w14:textId="77777777" w:rsidR="00346768" w:rsidRDefault="00346768" w:rsidP="00655333">
      <w:pPr>
        <w:jc w:val="center"/>
        <w:rPr>
          <w:lang w:val="en-CA"/>
        </w:rPr>
      </w:pPr>
    </w:p>
    <w:p w14:paraId="5A0DC505" w14:textId="77777777" w:rsidR="00346768" w:rsidRPr="007C1392" w:rsidRDefault="00346768" w:rsidP="00655333">
      <w:pPr>
        <w:jc w:val="center"/>
        <w:rPr>
          <w:sz w:val="14"/>
          <w:lang w:val="en-CA"/>
        </w:rPr>
      </w:pPr>
    </w:p>
    <w:p w14:paraId="7FB32DD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B32DDB" w14:textId="77777777" w:rsidR="009F436C" w:rsidRPr="002C29B6" w:rsidRDefault="00655333" w:rsidP="00645A5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7C1392">
      <w:headerReference w:type="default" r:id="rId9"/>
      <w:headerReference w:type="first" r:id="rId10"/>
      <w:type w:val="continuous"/>
      <w:pgSz w:w="12240" w:h="15840"/>
      <w:pgMar w:top="567" w:right="1440" w:bottom="720" w:left="1440" w:header="113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32DDE" w14:textId="77777777" w:rsidR="00D27D4E" w:rsidRDefault="00D27D4E">
      <w:r>
        <w:separator/>
      </w:r>
    </w:p>
  </w:endnote>
  <w:endnote w:type="continuationSeparator" w:id="0">
    <w:p w14:paraId="7FB32DD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2DDC" w14:textId="77777777" w:rsidR="00D27D4E" w:rsidRDefault="00D27D4E">
      <w:r>
        <w:separator/>
      </w:r>
    </w:p>
  </w:footnote>
  <w:footnote w:type="continuationSeparator" w:id="0">
    <w:p w14:paraId="7FB32DD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2DE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C139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B32DE1" w14:textId="77777777" w:rsidR="00401B64" w:rsidRDefault="00401B64" w:rsidP="00401B64">
    <w:pPr>
      <w:rPr>
        <w:szCs w:val="24"/>
      </w:rPr>
    </w:pPr>
  </w:p>
  <w:p w14:paraId="7FB32DE2" w14:textId="77777777" w:rsidR="00401B64" w:rsidRDefault="00401B64" w:rsidP="00401B64">
    <w:pPr>
      <w:rPr>
        <w:szCs w:val="24"/>
      </w:rPr>
    </w:pPr>
  </w:p>
  <w:p w14:paraId="7FB32DE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40821</w:t>
    </w:r>
    <w:r w:rsidR="00401B64">
      <w:rPr>
        <w:szCs w:val="24"/>
      </w:rPr>
      <w:t>     </w:t>
    </w:r>
  </w:p>
  <w:p w14:paraId="7FB32DE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B32DE5" w14:textId="77777777" w:rsidR="000452C9" w:rsidRDefault="000452C9" w:rsidP="000452C9"/>
      <w:p w14:paraId="7FB32DE6" w14:textId="77777777" w:rsidR="000452C9" w:rsidRPr="001E26DB" w:rsidRDefault="000452C9" w:rsidP="000452C9"/>
      <w:p w14:paraId="7FB32DE7" w14:textId="77777777" w:rsidR="000452C9" w:rsidRPr="001E26DB" w:rsidRDefault="000452C9" w:rsidP="000452C9"/>
      <w:p w14:paraId="7FB32DE8" w14:textId="77777777" w:rsidR="000452C9" w:rsidRDefault="000452C9" w:rsidP="000452C9"/>
      <w:p w14:paraId="7FB32DE9" w14:textId="77777777" w:rsidR="000452C9" w:rsidRDefault="000452C9" w:rsidP="000452C9"/>
      <w:p w14:paraId="7FB32DEA" w14:textId="77777777" w:rsidR="000452C9" w:rsidRDefault="000452C9" w:rsidP="000452C9"/>
      <w:p w14:paraId="7FB32DEB" w14:textId="77777777" w:rsidR="000452C9" w:rsidRDefault="000452C9" w:rsidP="000452C9"/>
      <w:p w14:paraId="7FB32DEC" w14:textId="77777777" w:rsidR="000452C9" w:rsidRPr="001E26DB" w:rsidRDefault="000452C9" w:rsidP="000452C9"/>
      <w:p w14:paraId="7FB32DED" w14:textId="77777777" w:rsidR="000452C9" w:rsidRPr="001E26DB" w:rsidRDefault="000452C9" w:rsidP="000452C9"/>
      <w:p w14:paraId="7FB32DEE" w14:textId="77777777" w:rsidR="000452C9" w:rsidRDefault="000452C9" w:rsidP="000452C9">
        <w:pPr>
          <w:pStyle w:val="Header"/>
        </w:pPr>
      </w:p>
      <w:p w14:paraId="7FB32DEF" w14:textId="77777777" w:rsidR="001D6D96" w:rsidRPr="000452C9" w:rsidRDefault="00524ED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4D6F"/>
    <w:rsid w:val="000452C9"/>
    <w:rsid w:val="00046917"/>
    <w:rsid w:val="00057FAF"/>
    <w:rsid w:val="00061CAE"/>
    <w:rsid w:val="0006409D"/>
    <w:rsid w:val="000919B4"/>
    <w:rsid w:val="000978C2"/>
    <w:rsid w:val="000B76FF"/>
    <w:rsid w:val="000D7521"/>
    <w:rsid w:val="000E1259"/>
    <w:rsid w:val="000E4CCE"/>
    <w:rsid w:val="000F44E1"/>
    <w:rsid w:val="00130C0B"/>
    <w:rsid w:val="0019299E"/>
    <w:rsid w:val="00193118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6768"/>
    <w:rsid w:val="003628F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7711"/>
    <w:rsid w:val="00474535"/>
    <w:rsid w:val="004943CF"/>
    <w:rsid w:val="004956DA"/>
    <w:rsid w:val="004F63BA"/>
    <w:rsid w:val="00504B7F"/>
    <w:rsid w:val="00524C94"/>
    <w:rsid w:val="00524ED4"/>
    <w:rsid w:val="00563E2C"/>
    <w:rsid w:val="005873F3"/>
    <w:rsid w:val="00587869"/>
    <w:rsid w:val="005918AD"/>
    <w:rsid w:val="005B69C9"/>
    <w:rsid w:val="00614908"/>
    <w:rsid w:val="00622562"/>
    <w:rsid w:val="0062554E"/>
    <w:rsid w:val="00645A52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1392"/>
    <w:rsid w:val="007D22A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10FD"/>
    <w:rsid w:val="008D6351"/>
    <w:rsid w:val="008F4A07"/>
    <w:rsid w:val="00935BD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566E"/>
    <w:rsid w:val="00BA7D71"/>
    <w:rsid w:val="00BD2A96"/>
    <w:rsid w:val="00BF4FA2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241D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B32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7D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3D0AB-892A-4FC5-BCD2-B8913717B2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4A0C7B0-CF32-42FF-8B2D-1BA8FB579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873D3-E7E6-4735-823C-2575B8D8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2024-02-05T13:45:00Z</dcterms:created>
  <dcterms:modified xsi:type="dcterms:W3CDTF">2024-02-05T13:45:00Z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