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F260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40937</w:t>
      </w:r>
      <w:r w:rsidR="0016666F" w:rsidRPr="006E7BAE">
        <w:t>     </w:t>
      </w:r>
    </w:p>
    <w:p w14:paraId="6B031D47" w14:textId="2ECC44C2" w:rsidR="009F436C" w:rsidRPr="00121B01" w:rsidRDefault="009F436C" w:rsidP="00382FEC">
      <w:pPr>
        <w:rPr>
          <w:szCs w:val="24"/>
        </w:rPr>
      </w:pPr>
    </w:p>
    <w:p w14:paraId="71873037" w14:textId="77777777" w:rsidR="002568D3" w:rsidRPr="00121B01" w:rsidRDefault="002568D3" w:rsidP="00382FEC">
      <w:pPr>
        <w:rPr>
          <w:szCs w:val="24"/>
        </w:rPr>
      </w:pP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C0DDB0B" w14:textId="77777777" w:rsidTr="00C173B0">
        <w:tc>
          <w:tcPr>
            <w:tcW w:w="2269" w:type="pct"/>
          </w:tcPr>
          <w:p w14:paraId="6A519EE5" w14:textId="77777777" w:rsidR="00417FB7" w:rsidRPr="006E7BAE" w:rsidRDefault="00C9538D" w:rsidP="008262A3">
            <w:r>
              <w:t>April 11</w:t>
            </w:r>
            <w:r w:rsidR="00543EDD">
              <w:t>, 2024</w:t>
            </w:r>
          </w:p>
        </w:tc>
        <w:tc>
          <w:tcPr>
            <w:tcW w:w="381" w:type="pct"/>
          </w:tcPr>
          <w:p w14:paraId="5849AD34" w14:textId="77777777" w:rsidR="00417FB7" w:rsidRPr="006E7BAE" w:rsidRDefault="00417FB7" w:rsidP="00382FEC"/>
        </w:tc>
        <w:tc>
          <w:tcPr>
            <w:tcW w:w="2350" w:type="pct"/>
          </w:tcPr>
          <w:p w14:paraId="1D8680F4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C9538D">
              <w:t>11 avril</w:t>
            </w:r>
            <w:r>
              <w:t xml:space="preserve"> 2024</w:t>
            </w:r>
          </w:p>
        </w:tc>
      </w:tr>
      <w:tr w:rsidR="00E12A51" w:rsidRPr="006E7BAE" w14:paraId="107AEC4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A991CFF" w14:textId="77777777" w:rsidR="00C2612E" w:rsidRPr="00121B01" w:rsidRDefault="00C2612E" w:rsidP="008262A3">
            <w:pPr>
              <w:rPr>
                <w:szCs w:val="24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FA40F8" w14:textId="77777777" w:rsidR="00E12A51" w:rsidRPr="00121B01" w:rsidRDefault="00E12A51" w:rsidP="00382FEC">
            <w:pPr>
              <w:rPr>
                <w:szCs w:val="24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9B5E3C" w14:textId="77777777" w:rsidR="00E12A51" w:rsidRPr="00121B01" w:rsidRDefault="00E12A51" w:rsidP="00816B78">
            <w:pPr>
              <w:rPr>
                <w:szCs w:val="24"/>
                <w:lang w:val="en-US"/>
              </w:rPr>
            </w:pPr>
          </w:p>
        </w:tc>
      </w:tr>
      <w:tr w:rsidR="00824412" w:rsidRPr="00F20D02" w14:paraId="731F836B" w14:textId="77777777" w:rsidTr="00C173B0">
        <w:tc>
          <w:tcPr>
            <w:tcW w:w="2269" w:type="pct"/>
          </w:tcPr>
          <w:p w14:paraId="0F741239" w14:textId="77777777" w:rsidR="00B967AE" w:rsidRDefault="00353229">
            <w:pPr>
              <w:pStyle w:val="SCCLsocPrefix"/>
            </w:pPr>
            <w:r>
              <w:t>BETWEEN:</w:t>
            </w:r>
          </w:p>
          <w:p w14:paraId="26F5C2E9" w14:textId="77777777" w:rsidR="007F21C8" w:rsidRPr="007F21C8" w:rsidRDefault="007F21C8" w:rsidP="00DA5DA2"/>
          <w:p w14:paraId="72EBD8BD" w14:textId="77777777" w:rsidR="00B967AE" w:rsidRDefault="00353229">
            <w:pPr>
              <w:pStyle w:val="SCCLsocParty"/>
            </w:pPr>
            <w:r>
              <w:t>His Majesty the King</w:t>
            </w:r>
            <w:r>
              <w:br/>
            </w:r>
          </w:p>
          <w:p w14:paraId="5CE6C82A" w14:textId="77777777" w:rsidR="00B967AE" w:rsidRDefault="00353229">
            <w:pPr>
              <w:pStyle w:val="SCCLsocPartyRole"/>
            </w:pPr>
            <w:r>
              <w:t>Appellant</w:t>
            </w:r>
            <w:r>
              <w:br/>
            </w:r>
          </w:p>
          <w:p w14:paraId="1C99D6B1" w14:textId="77777777" w:rsidR="00B967AE" w:rsidRDefault="00353229">
            <w:pPr>
              <w:pStyle w:val="SCCLsocVersus"/>
            </w:pPr>
            <w:r>
              <w:t>- and -</w:t>
            </w:r>
          </w:p>
          <w:p w14:paraId="54CDF933" w14:textId="77777777" w:rsidR="00B967AE" w:rsidRDefault="00B967AE"/>
          <w:p w14:paraId="7CDDFC81" w14:textId="77777777" w:rsidR="00B967AE" w:rsidRDefault="00353229">
            <w:pPr>
              <w:pStyle w:val="SCCLsocParty"/>
            </w:pPr>
            <w:r>
              <w:t>Stuart Michael George Sabiston</w:t>
            </w:r>
            <w:r>
              <w:br/>
            </w:r>
          </w:p>
          <w:p w14:paraId="6B2CDF0A" w14:textId="77777777" w:rsidR="00B967AE" w:rsidRDefault="0035322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3757E57" w14:textId="77777777" w:rsidR="00824412" w:rsidRPr="006E7BAE" w:rsidRDefault="00824412" w:rsidP="00375294"/>
        </w:tc>
        <w:tc>
          <w:tcPr>
            <w:tcW w:w="2350" w:type="pct"/>
          </w:tcPr>
          <w:p w14:paraId="71DC5353" w14:textId="77777777" w:rsidR="00B967AE" w:rsidRDefault="00353229">
            <w:pPr>
              <w:pStyle w:val="SCCLsocPrefix"/>
              <w:rPr>
                <w:lang w:val="fr-CA"/>
              </w:rPr>
            </w:pPr>
            <w:r w:rsidRPr="00C9538D">
              <w:rPr>
                <w:lang w:val="fr-CA"/>
              </w:rPr>
              <w:t>ENTRE :</w:t>
            </w:r>
          </w:p>
          <w:p w14:paraId="557F3DB7" w14:textId="77777777" w:rsidR="007F21C8" w:rsidRPr="007F21C8" w:rsidRDefault="007F21C8" w:rsidP="00DA5DA2">
            <w:pPr>
              <w:rPr>
                <w:lang w:val="fr-CA"/>
              </w:rPr>
            </w:pPr>
          </w:p>
          <w:p w14:paraId="2C759782" w14:textId="77777777" w:rsidR="00B967AE" w:rsidRPr="00C9538D" w:rsidRDefault="00353229">
            <w:pPr>
              <w:pStyle w:val="SCCLsocParty"/>
              <w:rPr>
                <w:lang w:val="fr-CA"/>
              </w:rPr>
            </w:pPr>
            <w:r w:rsidRPr="00C9538D">
              <w:rPr>
                <w:lang w:val="fr-CA"/>
              </w:rPr>
              <w:t>Sa Majesté le Roi</w:t>
            </w:r>
            <w:r w:rsidRPr="00C9538D">
              <w:rPr>
                <w:lang w:val="fr-CA"/>
              </w:rPr>
              <w:br/>
            </w:r>
          </w:p>
          <w:p w14:paraId="36420F8C" w14:textId="13652AAE" w:rsidR="00B967AE" w:rsidRPr="00C9538D" w:rsidRDefault="00F20D0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Appelant</w:t>
            </w:r>
            <w:r w:rsidR="00353229" w:rsidRPr="00C9538D">
              <w:rPr>
                <w:lang w:val="fr-CA"/>
              </w:rPr>
              <w:br/>
            </w:r>
          </w:p>
          <w:p w14:paraId="1F5B45FA" w14:textId="77777777" w:rsidR="00B967AE" w:rsidRPr="00C9538D" w:rsidRDefault="00353229">
            <w:pPr>
              <w:pStyle w:val="SCCLsocVersus"/>
              <w:rPr>
                <w:lang w:val="fr-CA"/>
              </w:rPr>
            </w:pPr>
            <w:r w:rsidRPr="00C9538D">
              <w:rPr>
                <w:lang w:val="fr-CA"/>
              </w:rPr>
              <w:t>- et -</w:t>
            </w:r>
          </w:p>
          <w:p w14:paraId="0B9852AD" w14:textId="77777777" w:rsidR="00B967AE" w:rsidRPr="00C9538D" w:rsidRDefault="00B967AE">
            <w:pPr>
              <w:rPr>
                <w:lang w:val="fr-CA"/>
              </w:rPr>
            </w:pPr>
          </w:p>
          <w:p w14:paraId="6DA87BEE" w14:textId="77777777" w:rsidR="00B967AE" w:rsidRPr="00C9538D" w:rsidRDefault="00353229">
            <w:pPr>
              <w:pStyle w:val="SCCLsocParty"/>
              <w:rPr>
                <w:lang w:val="fr-CA"/>
              </w:rPr>
            </w:pPr>
            <w:r w:rsidRPr="00C9538D">
              <w:rPr>
                <w:lang w:val="fr-CA"/>
              </w:rPr>
              <w:t>Stuart Michael George Sabiston</w:t>
            </w:r>
            <w:r w:rsidRPr="00C9538D">
              <w:rPr>
                <w:lang w:val="fr-CA"/>
              </w:rPr>
              <w:br/>
            </w:r>
          </w:p>
          <w:p w14:paraId="73A7456E" w14:textId="77777777" w:rsidR="00B967AE" w:rsidRPr="00DA5DA2" w:rsidRDefault="00353229">
            <w:pPr>
              <w:pStyle w:val="SCCLsocPartyRole"/>
              <w:rPr>
                <w:lang w:val="fr-CA"/>
              </w:rPr>
            </w:pPr>
            <w:r w:rsidRPr="00DA5DA2">
              <w:rPr>
                <w:lang w:val="fr-CA"/>
              </w:rPr>
              <w:t>Intimé</w:t>
            </w:r>
          </w:p>
        </w:tc>
      </w:tr>
      <w:tr w:rsidR="00824412" w:rsidRPr="00F20D02" w14:paraId="0D07D01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B01A6D2" w14:textId="77777777" w:rsidR="00824412" w:rsidRPr="00DA5DA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697F03" w14:textId="77777777" w:rsidR="00824412" w:rsidRPr="00DA5DA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3A5CD2" w14:textId="77777777" w:rsidR="00824412" w:rsidRPr="00DA5DA2" w:rsidRDefault="00824412" w:rsidP="00B408F8">
            <w:pPr>
              <w:rPr>
                <w:lang w:val="fr-CA"/>
              </w:rPr>
            </w:pPr>
          </w:p>
        </w:tc>
      </w:tr>
      <w:tr w:rsidR="00824412" w:rsidRPr="00DF427E" w14:paraId="1414B7C6" w14:textId="77777777" w:rsidTr="00C173B0">
        <w:tc>
          <w:tcPr>
            <w:tcW w:w="2269" w:type="pct"/>
          </w:tcPr>
          <w:p w14:paraId="7FC7AA9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9E9778B" w14:textId="77777777" w:rsidR="00824412" w:rsidRPr="006E7BAE" w:rsidRDefault="00824412" w:rsidP="00417FB7">
            <w:pPr>
              <w:jc w:val="center"/>
            </w:pPr>
          </w:p>
          <w:p w14:paraId="7C9BEAFB" w14:textId="2A021FFF" w:rsidR="00824412" w:rsidRDefault="004426E1" w:rsidP="00011960">
            <w:pPr>
              <w:jc w:val="both"/>
            </w:pPr>
            <w:r>
              <w:t xml:space="preserve">The motion </w:t>
            </w:r>
            <w:r w:rsidR="007F21C8">
              <w:t xml:space="preserve">for an extension of time </w:t>
            </w:r>
            <w:r>
              <w:t xml:space="preserve">to serve and file the application for leave to appeal </w:t>
            </w:r>
            <w:r w:rsidR="007F21C8"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>
              <w:t>CACR3403</w:t>
            </w:r>
            <w:r w:rsidRPr="006E7BAE">
              <w:t xml:space="preserve">, </w:t>
            </w:r>
            <w:r w:rsidR="00824412">
              <w:t xml:space="preserve">2023 SKCA 105, </w:t>
            </w:r>
            <w:r w:rsidR="00824412" w:rsidRPr="006E7BAE">
              <w:t xml:space="preserve">dated </w:t>
            </w:r>
            <w:r w:rsidR="00824412">
              <w:t>September 7, 2023</w:t>
            </w:r>
            <w:r w:rsidR="009D1020">
              <w:t>,</w:t>
            </w:r>
            <w:r w:rsidR="00824412" w:rsidRPr="006E7BAE">
              <w:t xml:space="preserve"> is</w:t>
            </w:r>
            <w:r w:rsidR="00353229">
              <w:t xml:space="preserve"> dismissed</w:t>
            </w:r>
            <w:r w:rsidR="00824412" w:rsidRPr="006E7BAE">
              <w:t>.</w:t>
            </w:r>
          </w:p>
          <w:p w14:paraId="66540059" w14:textId="77777777" w:rsidR="00F20D02" w:rsidRDefault="00F20D02" w:rsidP="00011960">
            <w:pPr>
              <w:jc w:val="both"/>
            </w:pPr>
          </w:p>
          <w:p w14:paraId="0B7583C2" w14:textId="77777777" w:rsidR="00DA5DA2" w:rsidRDefault="00F20D02" w:rsidP="00011960">
            <w:pPr>
              <w:jc w:val="both"/>
            </w:pPr>
            <w:r>
              <w:t xml:space="preserve">The motion to extend the time to serve and file the appellant’s factum, record and book of authorities is granted. </w:t>
            </w:r>
          </w:p>
          <w:p w14:paraId="2B77043A" w14:textId="77777777" w:rsidR="00DA5DA2" w:rsidRDefault="00DA5DA2" w:rsidP="00011960">
            <w:pPr>
              <w:jc w:val="both"/>
            </w:pPr>
          </w:p>
          <w:p w14:paraId="0FE9EFED" w14:textId="77777777" w:rsidR="00DA5DA2" w:rsidRDefault="00DA5DA2" w:rsidP="00011960">
            <w:pPr>
              <w:jc w:val="both"/>
            </w:pPr>
          </w:p>
          <w:p w14:paraId="1CA61C2F" w14:textId="77777777" w:rsidR="00DA5DA2" w:rsidRDefault="00DA5DA2" w:rsidP="00011960">
            <w:pPr>
              <w:jc w:val="both"/>
            </w:pPr>
          </w:p>
          <w:p w14:paraId="2B93FCAF" w14:textId="77777777" w:rsidR="00DA5DA2" w:rsidRDefault="00DA5DA2" w:rsidP="00011960">
            <w:pPr>
              <w:jc w:val="both"/>
            </w:pPr>
          </w:p>
          <w:p w14:paraId="67519598" w14:textId="77777777" w:rsidR="00DA5DA2" w:rsidRDefault="00DA5DA2" w:rsidP="00011960">
            <w:pPr>
              <w:jc w:val="both"/>
            </w:pPr>
          </w:p>
          <w:p w14:paraId="3FE4E81F" w14:textId="77777777" w:rsidR="00DA5DA2" w:rsidRDefault="00DA5DA2" w:rsidP="00011960">
            <w:pPr>
              <w:jc w:val="both"/>
            </w:pPr>
          </w:p>
          <w:p w14:paraId="3F9E5569" w14:textId="364C62CC" w:rsidR="00F20D02" w:rsidRDefault="00F20D02" w:rsidP="00011960">
            <w:pPr>
              <w:jc w:val="both"/>
            </w:pPr>
            <w:r>
              <w:lastRenderedPageBreak/>
              <w:t xml:space="preserve">The appellant’s factum, record, and, book of authorities, if any, </w:t>
            </w:r>
            <w:r w:rsidR="00B22712">
              <w:t xml:space="preserve">in the appeal as of right, </w:t>
            </w:r>
            <w:r>
              <w:t>shall be served and filed within two (2) weeks from the date of this judgment.</w:t>
            </w:r>
          </w:p>
          <w:p w14:paraId="04929713" w14:textId="77777777" w:rsidR="003F6511" w:rsidRDefault="003F6511" w:rsidP="00011960">
            <w:pPr>
              <w:jc w:val="both"/>
            </w:pPr>
          </w:p>
          <w:p w14:paraId="06BA58F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5F4DEB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E11EA0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04BE19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D9B23F8" w14:textId="1985794F" w:rsidR="00F20D02" w:rsidRDefault="007F21C8" w:rsidP="00B22712">
            <w:pPr>
              <w:jc w:val="both"/>
              <w:rPr>
                <w:lang w:val="fr-CA"/>
              </w:rPr>
            </w:pPr>
            <w:r w:rsidRPr="00DA5DA2">
              <w:rPr>
                <w:lang w:val="fr-CA"/>
              </w:rPr>
              <w:t xml:space="preserve">La </w:t>
            </w:r>
            <w:r w:rsidR="0008270B" w:rsidRPr="00DA5DA2">
              <w:rPr>
                <w:lang w:val="fr-CA"/>
              </w:rPr>
              <w:t xml:space="preserve">requête en prorogation du délai </w:t>
            </w:r>
            <w:r w:rsidR="000241A3" w:rsidRPr="00DA5DA2">
              <w:rPr>
                <w:lang w:val="fr-CA"/>
              </w:rPr>
              <w:t xml:space="preserve">de signification et de dépôt de </w:t>
            </w:r>
            <w:r w:rsidR="0008270B" w:rsidRPr="00DA5DA2">
              <w:rPr>
                <w:lang w:val="fr-CA"/>
              </w:rPr>
              <w:t>la demande d’autorisation d’appel</w:t>
            </w:r>
            <w:r w:rsidR="009D1020">
              <w:rPr>
                <w:lang w:val="fr-CA"/>
              </w:rPr>
              <w:t xml:space="preserve"> </w:t>
            </w:r>
            <w:r w:rsidRPr="00DA5DA2">
              <w:rPr>
                <w:lang w:val="fr-CA"/>
              </w:rPr>
              <w:t xml:space="preserve">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9538D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="004426E1" w:rsidRPr="00C9538D">
              <w:rPr>
                <w:lang w:val="fr-CA"/>
              </w:rPr>
              <w:t>CACR3403</w:t>
            </w:r>
            <w:r w:rsidR="004426E1" w:rsidRPr="006E7BAE">
              <w:rPr>
                <w:lang w:val="fr-CA"/>
              </w:rPr>
              <w:t xml:space="preserve">, </w:t>
            </w:r>
            <w:r w:rsidR="00824412" w:rsidRPr="00C9538D">
              <w:rPr>
                <w:lang w:val="fr-CA"/>
              </w:rPr>
              <w:t xml:space="preserve">2023 SKCA 105,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9538D">
              <w:rPr>
                <w:lang w:val="fr-CA"/>
              </w:rPr>
              <w:t>7 septembre 2023</w:t>
            </w:r>
            <w:r w:rsidR="00824412" w:rsidRPr="006E7BAE">
              <w:rPr>
                <w:lang w:val="fr-CA"/>
              </w:rPr>
              <w:t>, est</w:t>
            </w:r>
            <w:r w:rsidR="0008270B"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</w:p>
          <w:p w14:paraId="7E536A68" w14:textId="77777777" w:rsidR="00F20D02" w:rsidRDefault="00F20D02" w:rsidP="00BD547C">
            <w:pPr>
              <w:jc w:val="both"/>
              <w:rPr>
                <w:lang w:val="fr-CA"/>
              </w:rPr>
            </w:pPr>
          </w:p>
          <w:p w14:paraId="4BA9C96C" w14:textId="77777777" w:rsidR="00DA5DA2" w:rsidRDefault="00F20D02" w:rsidP="00BD547C">
            <w:pPr>
              <w:jc w:val="both"/>
              <w:rPr>
                <w:lang w:val="fr-CA"/>
              </w:rPr>
            </w:pPr>
            <w:r w:rsidRPr="00974466">
              <w:rPr>
                <w:lang w:val="fr-CA"/>
              </w:rPr>
              <w:t xml:space="preserve">La requête en prorogation du délai de signification et de </w:t>
            </w:r>
            <w:r w:rsidR="00BD547C">
              <w:rPr>
                <w:lang w:val="fr-CA"/>
              </w:rPr>
              <w:t>dépôt des</w:t>
            </w:r>
            <w:r w:rsidRPr="00974466">
              <w:rPr>
                <w:lang w:val="fr-CA"/>
              </w:rPr>
              <w:t xml:space="preserve"> mémoire</w:t>
            </w:r>
            <w:r>
              <w:rPr>
                <w:lang w:val="fr-CA"/>
              </w:rPr>
              <w:t xml:space="preserve">,  dossier </w:t>
            </w:r>
            <w:r w:rsidRPr="00974466">
              <w:rPr>
                <w:lang w:val="fr-CA"/>
              </w:rPr>
              <w:t>et recueil de sources</w:t>
            </w:r>
            <w:r>
              <w:rPr>
                <w:lang w:val="fr-CA"/>
              </w:rPr>
              <w:t xml:space="preserve"> </w:t>
            </w:r>
            <w:r w:rsidRPr="00E71922">
              <w:rPr>
                <w:lang w:val="fr-CA"/>
              </w:rPr>
              <w:t>de</w:t>
            </w:r>
            <w:r>
              <w:rPr>
                <w:lang w:val="fr-CA"/>
              </w:rPr>
              <w:t xml:space="preserve"> l’appelant</w:t>
            </w:r>
            <w:r w:rsidRPr="00E71922">
              <w:rPr>
                <w:lang w:val="fr-CA"/>
              </w:rPr>
              <w:t xml:space="preserve"> </w:t>
            </w:r>
            <w:r w:rsidRPr="00974466">
              <w:rPr>
                <w:lang w:val="fr-CA"/>
              </w:rPr>
              <w:t>est accueillie.</w:t>
            </w:r>
            <w:r>
              <w:rPr>
                <w:lang w:val="fr-CA"/>
              </w:rPr>
              <w:t xml:space="preserve"> </w:t>
            </w:r>
          </w:p>
          <w:p w14:paraId="7F0CE4E5" w14:textId="77777777" w:rsidR="00DA5DA2" w:rsidRDefault="00DA5DA2" w:rsidP="00BD547C">
            <w:pPr>
              <w:jc w:val="both"/>
              <w:rPr>
                <w:lang w:val="fr-CA"/>
              </w:rPr>
            </w:pPr>
          </w:p>
          <w:p w14:paraId="2CB62565" w14:textId="77777777" w:rsidR="00DA5DA2" w:rsidRDefault="00DA5DA2" w:rsidP="00BD547C">
            <w:pPr>
              <w:jc w:val="both"/>
              <w:rPr>
                <w:lang w:val="fr-CA"/>
              </w:rPr>
            </w:pPr>
          </w:p>
          <w:p w14:paraId="62C56570" w14:textId="77777777" w:rsidR="00DA5DA2" w:rsidRDefault="00DA5DA2" w:rsidP="00BD547C">
            <w:pPr>
              <w:jc w:val="both"/>
              <w:rPr>
                <w:lang w:val="fr-CA"/>
              </w:rPr>
            </w:pPr>
          </w:p>
          <w:p w14:paraId="49D15A0C" w14:textId="77777777" w:rsidR="00DA5DA2" w:rsidRDefault="00DA5DA2" w:rsidP="00BD547C">
            <w:pPr>
              <w:jc w:val="both"/>
              <w:rPr>
                <w:lang w:val="fr-CA"/>
              </w:rPr>
            </w:pPr>
          </w:p>
          <w:p w14:paraId="7F784876" w14:textId="77777777" w:rsidR="00DA5DA2" w:rsidRDefault="00DA5DA2" w:rsidP="00BD547C">
            <w:pPr>
              <w:jc w:val="both"/>
              <w:rPr>
                <w:lang w:val="fr-CA"/>
              </w:rPr>
            </w:pPr>
          </w:p>
          <w:p w14:paraId="5A19350A" w14:textId="6A8BE343" w:rsidR="003F6511" w:rsidRPr="006E7BAE" w:rsidRDefault="00DF427E" w:rsidP="003B6A5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lastRenderedPageBreak/>
              <w:t>Les mémoires</w:t>
            </w:r>
            <w:r w:rsidR="00F20D02">
              <w:rPr>
                <w:lang w:val="fr-CA"/>
              </w:rPr>
              <w:t xml:space="preserve">, </w:t>
            </w:r>
            <w:r w:rsidR="00B22712" w:rsidRPr="00B22712">
              <w:rPr>
                <w:lang w:val="fr-CA"/>
              </w:rPr>
              <w:t>dossier et recueil de sources, le cas échéant,</w:t>
            </w:r>
            <w:r w:rsidR="00B22712">
              <w:rPr>
                <w:lang w:val="fr-CA"/>
              </w:rPr>
              <w:t xml:space="preserve"> de l’appelant dans l’appel de plein droit, doivent être signifiés et déposés dans les deux (2) semaines suivant </w:t>
            </w:r>
            <w:r w:rsidR="003B6A53">
              <w:rPr>
                <w:lang w:val="fr-CA"/>
              </w:rPr>
              <w:t xml:space="preserve">la date du </w:t>
            </w:r>
            <w:r w:rsidR="00B22712">
              <w:rPr>
                <w:lang w:val="fr-CA"/>
              </w:rPr>
              <w:t>présent jugement.</w:t>
            </w:r>
          </w:p>
        </w:tc>
      </w:tr>
    </w:tbl>
    <w:p w14:paraId="79DAD30F" w14:textId="77777777" w:rsidR="009F436C" w:rsidRPr="00D83B8C" w:rsidRDefault="009F436C" w:rsidP="00382FEC">
      <w:pPr>
        <w:rPr>
          <w:lang w:val="fr-CA"/>
        </w:rPr>
      </w:pPr>
    </w:p>
    <w:p w14:paraId="5ADFE620" w14:textId="77777777" w:rsidR="00C9538D" w:rsidRPr="00121B01" w:rsidRDefault="00C9538D" w:rsidP="00417FB7">
      <w:pPr>
        <w:jc w:val="center"/>
        <w:rPr>
          <w:szCs w:val="24"/>
          <w:lang w:val="fr-CA"/>
        </w:rPr>
      </w:pPr>
    </w:p>
    <w:p w14:paraId="5A8C473E" w14:textId="77777777" w:rsidR="00C9538D" w:rsidRPr="00121B01" w:rsidRDefault="00C9538D" w:rsidP="00417FB7">
      <w:pPr>
        <w:jc w:val="center"/>
        <w:rPr>
          <w:szCs w:val="24"/>
          <w:lang w:val="fr-CA"/>
        </w:rPr>
      </w:pPr>
    </w:p>
    <w:p w14:paraId="206DC093" w14:textId="77777777" w:rsidR="00083B59" w:rsidRPr="00121B01" w:rsidRDefault="00083B59" w:rsidP="00417FB7">
      <w:pPr>
        <w:jc w:val="center"/>
        <w:rPr>
          <w:szCs w:val="24"/>
          <w:lang w:val="fr-CA"/>
        </w:rPr>
      </w:pPr>
    </w:p>
    <w:p w14:paraId="614E037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8E6EA75" w14:textId="77777777" w:rsidR="009F436C" w:rsidRPr="00D83B8C" w:rsidRDefault="003A37CF" w:rsidP="00C9538D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121B0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0FB66" w14:textId="77777777" w:rsidR="00983D48" w:rsidRDefault="00983D48">
      <w:r>
        <w:separator/>
      </w:r>
    </w:p>
  </w:endnote>
  <w:endnote w:type="continuationSeparator" w:id="0">
    <w:p w14:paraId="51094AA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3E130" w14:textId="77777777" w:rsidR="00983D48" w:rsidRDefault="00983D48">
      <w:r>
        <w:separator/>
      </w:r>
    </w:p>
  </w:footnote>
  <w:footnote w:type="continuationSeparator" w:id="0">
    <w:p w14:paraId="5612DC0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9FD7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1398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B8DE7A4" w14:textId="77777777" w:rsidR="008F53F3" w:rsidRDefault="008F53F3" w:rsidP="008F53F3">
    <w:pPr>
      <w:rPr>
        <w:szCs w:val="24"/>
      </w:rPr>
    </w:pPr>
  </w:p>
  <w:p w14:paraId="3DFC72DF" w14:textId="77777777" w:rsidR="008F53F3" w:rsidRDefault="008F53F3" w:rsidP="008F53F3">
    <w:pPr>
      <w:rPr>
        <w:szCs w:val="24"/>
      </w:rPr>
    </w:pPr>
  </w:p>
  <w:p w14:paraId="18CF9BF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40937</w:t>
    </w:r>
    <w:r>
      <w:rPr>
        <w:szCs w:val="24"/>
      </w:rPr>
      <w:t>     </w:t>
    </w:r>
  </w:p>
  <w:p w14:paraId="6F9F537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96502D6" w14:textId="77777777" w:rsidR="0073151A" w:rsidRDefault="0073151A" w:rsidP="0073151A"/>
      <w:p w14:paraId="232AA38F" w14:textId="77777777" w:rsidR="0073151A" w:rsidRPr="006E7BAE" w:rsidRDefault="0073151A" w:rsidP="0073151A"/>
      <w:p w14:paraId="35D17A4B" w14:textId="77777777" w:rsidR="0073151A" w:rsidRPr="006E7BAE" w:rsidRDefault="0073151A" w:rsidP="0073151A"/>
      <w:p w14:paraId="404D64D1" w14:textId="77777777" w:rsidR="0073151A" w:rsidRPr="006E7BAE" w:rsidRDefault="0073151A" w:rsidP="0073151A"/>
      <w:p w14:paraId="74216A08" w14:textId="77777777" w:rsidR="0073151A" w:rsidRDefault="0073151A" w:rsidP="0073151A"/>
      <w:p w14:paraId="40EDB961" w14:textId="77777777" w:rsidR="0073151A" w:rsidRDefault="0073151A" w:rsidP="0073151A"/>
      <w:p w14:paraId="7AED9D78" w14:textId="77777777" w:rsidR="0073151A" w:rsidRDefault="0073151A" w:rsidP="0073151A"/>
      <w:p w14:paraId="08BEFFA1" w14:textId="77777777" w:rsidR="0073151A" w:rsidRDefault="0073151A" w:rsidP="0073151A"/>
      <w:p w14:paraId="226180DB" w14:textId="77777777" w:rsidR="0073151A" w:rsidRDefault="0073151A" w:rsidP="0073151A"/>
      <w:p w14:paraId="11992256" w14:textId="77777777" w:rsidR="0073151A" w:rsidRPr="006E7BAE" w:rsidRDefault="0073151A" w:rsidP="0073151A"/>
      <w:p w14:paraId="3AC6E960" w14:textId="77777777" w:rsidR="00ED265D" w:rsidRPr="0073151A" w:rsidRDefault="0021398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41A3"/>
    <w:rsid w:val="000306C6"/>
    <w:rsid w:val="0003701B"/>
    <w:rsid w:val="0004338D"/>
    <w:rsid w:val="00054D01"/>
    <w:rsid w:val="00057FAF"/>
    <w:rsid w:val="00074657"/>
    <w:rsid w:val="0008270B"/>
    <w:rsid w:val="00083B59"/>
    <w:rsid w:val="00091327"/>
    <w:rsid w:val="000919B4"/>
    <w:rsid w:val="000B4AA7"/>
    <w:rsid w:val="000B76FF"/>
    <w:rsid w:val="000C5AF7"/>
    <w:rsid w:val="000D7521"/>
    <w:rsid w:val="000E4CCE"/>
    <w:rsid w:val="00110EB3"/>
    <w:rsid w:val="00121B01"/>
    <w:rsid w:val="0016666F"/>
    <w:rsid w:val="00167C15"/>
    <w:rsid w:val="001B3EC0"/>
    <w:rsid w:val="001D0116"/>
    <w:rsid w:val="001D4323"/>
    <w:rsid w:val="001E1079"/>
    <w:rsid w:val="00203642"/>
    <w:rsid w:val="00212BA0"/>
    <w:rsid w:val="0021398F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3229"/>
    <w:rsid w:val="00356186"/>
    <w:rsid w:val="00374E7D"/>
    <w:rsid w:val="00375294"/>
    <w:rsid w:val="00382FC7"/>
    <w:rsid w:val="00382FEC"/>
    <w:rsid w:val="00385A90"/>
    <w:rsid w:val="003A37CF"/>
    <w:rsid w:val="003B1F3D"/>
    <w:rsid w:val="003B6A53"/>
    <w:rsid w:val="003D3551"/>
    <w:rsid w:val="003F6511"/>
    <w:rsid w:val="00410EDC"/>
    <w:rsid w:val="00414694"/>
    <w:rsid w:val="00417FB7"/>
    <w:rsid w:val="0042783F"/>
    <w:rsid w:val="004426E1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21C8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1020"/>
    <w:rsid w:val="009D45DF"/>
    <w:rsid w:val="009E0D8D"/>
    <w:rsid w:val="009E0F71"/>
    <w:rsid w:val="009E2FC7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22712"/>
    <w:rsid w:val="00B328CD"/>
    <w:rsid w:val="00B408F8"/>
    <w:rsid w:val="00B5078E"/>
    <w:rsid w:val="00B60EDC"/>
    <w:rsid w:val="00B967AE"/>
    <w:rsid w:val="00BC39BE"/>
    <w:rsid w:val="00BD4E4C"/>
    <w:rsid w:val="00BD547C"/>
    <w:rsid w:val="00BF7644"/>
    <w:rsid w:val="00C1285B"/>
    <w:rsid w:val="00C173B0"/>
    <w:rsid w:val="00C17F71"/>
    <w:rsid w:val="00C2612E"/>
    <w:rsid w:val="00C9538D"/>
    <w:rsid w:val="00CB2B73"/>
    <w:rsid w:val="00CE249F"/>
    <w:rsid w:val="00CF17D0"/>
    <w:rsid w:val="00D42339"/>
    <w:rsid w:val="00D61AC2"/>
    <w:rsid w:val="00D83B8C"/>
    <w:rsid w:val="00DA4281"/>
    <w:rsid w:val="00DA5DA2"/>
    <w:rsid w:val="00DB1ADC"/>
    <w:rsid w:val="00DD4332"/>
    <w:rsid w:val="00DF427E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0D02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1DB04CB"/>
  <w15:docId w15:val="{E231FD3A-D16F-40E6-9390-2AC2D66E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15389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34EBF-F9EA-4044-9325-6B2B46EC6B5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583A92E-F834-4D9A-BC19-EE83924DE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192C9C-AA9B-426B-9D26-6DF2CE55B0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F6360C-682B-4293-A3E4-F35C8DF6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Canada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Carrière Caroline</dc:creator>
  <cp:lastModifiedBy>Carrière Caroline</cp:lastModifiedBy>
  <cp:revision>2</cp:revision>
  <dcterms:created xsi:type="dcterms:W3CDTF">2024-04-08T17:07:00Z</dcterms:created>
  <dcterms:modified xsi:type="dcterms:W3CDTF">2024-04-08T17:07:00Z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