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AA5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41042</w:t>
      </w:r>
      <w:r w:rsidR="0016666F" w:rsidRPr="006E7BAE">
        <w:t>     </w:t>
      </w:r>
    </w:p>
    <w:p w14:paraId="6731384D" w14:textId="77777777" w:rsidR="009F436C" w:rsidRPr="006E7BAE" w:rsidRDefault="009F436C" w:rsidP="00382FEC"/>
    <w:p w14:paraId="6649DAAE" w14:textId="77777777" w:rsidR="002568D3" w:rsidRPr="006E7BAE" w:rsidRDefault="002568D3" w:rsidP="00382FEC"/>
    <w:tbl>
      <w:tblPr>
        <w:tblW w:w="5096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33"/>
        <w:gridCol w:w="4488"/>
      </w:tblGrid>
      <w:tr w:rsidR="00417FB7" w:rsidRPr="006E7BAE" w14:paraId="59F1EF89" w14:textId="77777777" w:rsidTr="00D552CC">
        <w:tc>
          <w:tcPr>
            <w:tcW w:w="2264" w:type="pct"/>
          </w:tcPr>
          <w:p w14:paraId="3A5736F4" w14:textId="77777777" w:rsidR="00417FB7" w:rsidRPr="006E7BAE" w:rsidRDefault="00AF3C87" w:rsidP="008262A3">
            <w:r>
              <w:t>May 30</w:t>
            </w:r>
            <w:r w:rsidR="00543EDD">
              <w:t>, 2024</w:t>
            </w:r>
          </w:p>
        </w:tc>
        <w:tc>
          <w:tcPr>
            <w:tcW w:w="384" w:type="pct"/>
          </w:tcPr>
          <w:p w14:paraId="3EE3FE24" w14:textId="77777777" w:rsidR="00417FB7" w:rsidRPr="006E7BAE" w:rsidRDefault="00417FB7" w:rsidP="00382FEC"/>
        </w:tc>
        <w:tc>
          <w:tcPr>
            <w:tcW w:w="2352" w:type="pct"/>
          </w:tcPr>
          <w:p w14:paraId="4B997A34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AF3C87">
              <w:t>30 mai</w:t>
            </w:r>
            <w:r>
              <w:t xml:space="preserve"> 2024</w:t>
            </w:r>
          </w:p>
        </w:tc>
      </w:tr>
      <w:tr w:rsidR="00E12A51" w:rsidRPr="006E7BAE" w14:paraId="29B336F2" w14:textId="77777777" w:rsidTr="00D552CC">
        <w:tc>
          <w:tcPr>
            <w:tcW w:w="2264" w:type="pct"/>
            <w:tcMar>
              <w:top w:w="0" w:type="dxa"/>
              <w:bottom w:w="0" w:type="dxa"/>
            </w:tcMar>
          </w:tcPr>
          <w:p w14:paraId="317F4206" w14:textId="77777777" w:rsidR="00C2612E" w:rsidRPr="006E7BAE" w:rsidRDefault="00C2612E" w:rsidP="008262A3"/>
        </w:tc>
        <w:tc>
          <w:tcPr>
            <w:tcW w:w="384" w:type="pct"/>
            <w:tcMar>
              <w:top w:w="0" w:type="dxa"/>
              <w:bottom w:w="0" w:type="dxa"/>
            </w:tcMar>
          </w:tcPr>
          <w:p w14:paraId="7A149F31" w14:textId="77777777" w:rsidR="00E12A51" w:rsidRPr="006E7BAE" w:rsidRDefault="00E12A51" w:rsidP="00382FEC"/>
        </w:tc>
        <w:tc>
          <w:tcPr>
            <w:tcW w:w="2352" w:type="pct"/>
            <w:tcMar>
              <w:top w:w="0" w:type="dxa"/>
              <w:bottom w:w="0" w:type="dxa"/>
            </w:tcMar>
          </w:tcPr>
          <w:p w14:paraId="042C11C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2524423" w14:textId="77777777" w:rsidTr="00D552CC">
        <w:tc>
          <w:tcPr>
            <w:tcW w:w="2264" w:type="pct"/>
          </w:tcPr>
          <w:p w14:paraId="5B4F9D1B" w14:textId="77777777" w:rsidR="00B42413" w:rsidRDefault="00B42413"/>
          <w:p w14:paraId="184B01AF" w14:textId="77777777" w:rsidR="00B42413" w:rsidRDefault="00917B6A">
            <w:pPr>
              <w:pStyle w:val="SCCLsocPrefix"/>
            </w:pPr>
            <w:r>
              <w:t>BETWEEN:</w:t>
            </w:r>
          </w:p>
          <w:p w14:paraId="108C4722" w14:textId="77777777" w:rsidR="00917B6A" w:rsidRPr="00917B6A" w:rsidRDefault="00917B6A" w:rsidP="00917B6A"/>
          <w:p w14:paraId="70918B70" w14:textId="77777777" w:rsidR="00B42413" w:rsidRDefault="00917B6A">
            <w:pPr>
              <w:pStyle w:val="SCCLsocParty"/>
            </w:pPr>
            <w:r>
              <w:t>William Fehr Sr. and Dorothey Fehr</w:t>
            </w:r>
            <w:r>
              <w:br/>
            </w:r>
          </w:p>
          <w:p w14:paraId="1A9F2859" w14:textId="77777777" w:rsidR="00B42413" w:rsidRDefault="00917B6A">
            <w:pPr>
              <w:pStyle w:val="SCCLsocPartyRole"/>
            </w:pPr>
            <w:r>
              <w:t>Applicants</w:t>
            </w:r>
            <w:r>
              <w:br/>
            </w:r>
          </w:p>
          <w:p w14:paraId="66DB9E18" w14:textId="77777777" w:rsidR="00B42413" w:rsidRDefault="00917B6A">
            <w:pPr>
              <w:pStyle w:val="SCCLsocVersus"/>
            </w:pPr>
            <w:r>
              <w:t>- and -</w:t>
            </w:r>
          </w:p>
          <w:p w14:paraId="124CEEAA" w14:textId="77777777" w:rsidR="00B42413" w:rsidRDefault="00B42413"/>
          <w:p w14:paraId="2C6CB179" w14:textId="77777777" w:rsidR="00B42413" w:rsidRDefault="00917B6A">
            <w:pPr>
              <w:pStyle w:val="SCCLsocParty"/>
            </w:pPr>
            <w:r>
              <w:t>Paul Gribilas, Burns Hubley LLP, J + W Foods Inc., William Fehr Jr. and Steven Trougakos</w:t>
            </w:r>
            <w:r>
              <w:br/>
            </w:r>
          </w:p>
          <w:p w14:paraId="60E12DE5" w14:textId="77777777" w:rsidR="00B42413" w:rsidRDefault="00917B6A">
            <w:pPr>
              <w:pStyle w:val="SCCLsocPartyRole"/>
            </w:pPr>
            <w:r>
              <w:t>Respondents</w:t>
            </w:r>
          </w:p>
        </w:tc>
        <w:tc>
          <w:tcPr>
            <w:tcW w:w="384" w:type="pct"/>
          </w:tcPr>
          <w:p w14:paraId="39AA9A36" w14:textId="77777777" w:rsidR="00824412" w:rsidRPr="006E7BAE" w:rsidRDefault="00824412" w:rsidP="00375294"/>
        </w:tc>
        <w:tc>
          <w:tcPr>
            <w:tcW w:w="2352" w:type="pct"/>
          </w:tcPr>
          <w:p w14:paraId="60EAD24C" w14:textId="77777777" w:rsidR="00B42413" w:rsidRDefault="00B42413"/>
          <w:p w14:paraId="2B928ECB" w14:textId="77777777" w:rsidR="00B42413" w:rsidRDefault="00917B6A">
            <w:pPr>
              <w:pStyle w:val="SCCLsocPrefix"/>
            </w:pPr>
            <w:r>
              <w:t>ENTRE :</w:t>
            </w:r>
          </w:p>
          <w:p w14:paraId="307CCBC7" w14:textId="77777777" w:rsidR="00917B6A" w:rsidRPr="00917B6A" w:rsidRDefault="00917B6A" w:rsidP="00917B6A"/>
          <w:p w14:paraId="3EA25674" w14:textId="77777777" w:rsidR="00B42413" w:rsidRDefault="00917B6A">
            <w:pPr>
              <w:pStyle w:val="SCCLsocParty"/>
            </w:pPr>
            <w:r>
              <w:t>William Fehr Sr. et Dorothey Fehr</w:t>
            </w:r>
            <w:r>
              <w:br/>
            </w:r>
          </w:p>
          <w:p w14:paraId="74DB6CB7" w14:textId="77777777" w:rsidR="00B42413" w:rsidRDefault="00917B6A">
            <w:pPr>
              <w:pStyle w:val="SCCLsocPartyRole"/>
            </w:pPr>
            <w:r>
              <w:t>Demandeurs</w:t>
            </w:r>
            <w:r>
              <w:br/>
            </w:r>
          </w:p>
          <w:p w14:paraId="20E69AC0" w14:textId="77777777" w:rsidR="00B42413" w:rsidRDefault="00917B6A">
            <w:pPr>
              <w:pStyle w:val="SCCLsocVersus"/>
            </w:pPr>
            <w:r>
              <w:t>- et -</w:t>
            </w:r>
          </w:p>
          <w:p w14:paraId="49CB6B60" w14:textId="77777777" w:rsidR="00B42413" w:rsidRDefault="00B42413"/>
          <w:p w14:paraId="1BE3217C" w14:textId="77777777" w:rsidR="00B42413" w:rsidRDefault="00917B6A">
            <w:pPr>
              <w:pStyle w:val="SCCLsocParty"/>
            </w:pPr>
            <w:r>
              <w:t>Paul Gribilas, Burns Hubley LLP, J + W Foods Inc., William Fehr Jr. et Steven Trougakos</w:t>
            </w:r>
            <w:r>
              <w:br/>
            </w:r>
          </w:p>
          <w:p w14:paraId="73886331" w14:textId="77777777" w:rsidR="00B42413" w:rsidRDefault="00917B6A">
            <w:pPr>
              <w:pStyle w:val="SCCLsocPartyRole"/>
            </w:pPr>
            <w:r>
              <w:t>Intimés</w:t>
            </w:r>
          </w:p>
        </w:tc>
      </w:tr>
      <w:tr w:rsidR="00824412" w:rsidRPr="006E7BAE" w14:paraId="316ED96B" w14:textId="77777777" w:rsidTr="00D552CC">
        <w:tc>
          <w:tcPr>
            <w:tcW w:w="2264" w:type="pct"/>
            <w:tcMar>
              <w:top w:w="0" w:type="dxa"/>
              <w:bottom w:w="0" w:type="dxa"/>
            </w:tcMar>
          </w:tcPr>
          <w:p w14:paraId="390CDDF0" w14:textId="77777777" w:rsidR="00824412" w:rsidRPr="006E7BAE" w:rsidRDefault="00824412" w:rsidP="00375294"/>
        </w:tc>
        <w:tc>
          <w:tcPr>
            <w:tcW w:w="384" w:type="pct"/>
            <w:tcMar>
              <w:top w:w="0" w:type="dxa"/>
              <w:bottom w:w="0" w:type="dxa"/>
            </w:tcMar>
          </w:tcPr>
          <w:p w14:paraId="3DAB1741" w14:textId="77777777" w:rsidR="00824412" w:rsidRPr="006E7BAE" w:rsidRDefault="00824412" w:rsidP="00375294"/>
        </w:tc>
        <w:tc>
          <w:tcPr>
            <w:tcW w:w="2352" w:type="pct"/>
            <w:tcMar>
              <w:top w:w="0" w:type="dxa"/>
              <w:bottom w:w="0" w:type="dxa"/>
            </w:tcMar>
          </w:tcPr>
          <w:p w14:paraId="67A7F4F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52CC" w14:paraId="3DEB5E47" w14:textId="77777777" w:rsidTr="00D552CC">
        <w:tc>
          <w:tcPr>
            <w:tcW w:w="2264" w:type="pct"/>
          </w:tcPr>
          <w:p w14:paraId="04979E3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9E3EC2" w14:textId="77777777" w:rsidR="00824412" w:rsidRPr="006E7BAE" w:rsidRDefault="00824412" w:rsidP="00417FB7">
            <w:pPr>
              <w:jc w:val="center"/>
            </w:pPr>
          </w:p>
          <w:p w14:paraId="1CDA85F3" w14:textId="000CC809" w:rsidR="00824412" w:rsidRDefault="00CF5CC2" w:rsidP="00011960">
            <w:pPr>
              <w:jc w:val="both"/>
            </w:pPr>
            <w:r>
              <w:rPr>
                <w:color w:val="000000"/>
              </w:rPr>
              <w:t>The motion for an extension of time to serve and file the response to the application for leave to appeal is granted.</w:t>
            </w:r>
            <w:r w:rsidRPr="006E7BA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917B6A">
              <w:t>C70459</w:t>
            </w:r>
            <w:r w:rsidR="00917B6A" w:rsidRPr="006E7BAE">
              <w:t xml:space="preserve">, </w:t>
            </w:r>
            <w:r w:rsidR="00824412">
              <w:t xml:space="preserve">2023 ONCA 686, </w:t>
            </w:r>
            <w:r w:rsidR="00824412" w:rsidRPr="006E7BAE">
              <w:t xml:space="preserve">dated </w:t>
            </w:r>
            <w:r w:rsidR="00824412">
              <w:t>October 20, 2023</w:t>
            </w:r>
            <w:r w:rsidR="007D24D8">
              <w:t>,</w:t>
            </w:r>
            <w:r w:rsidR="00824412" w:rsidRPr="006E7BAE">
              <w:t xml:space="preserve"> is </w:t>
            </w:r>
            <w:r>
              <w:t xml:space="preserve">dismissed with costs to the respondents Paul Gribilas </w:t>
            </w:r>
            <w:r w:rsidR="00AF3C87">
              <w:t>and</w:t>
            </w:r>
            <w:r>
              <w:t xml:space="preserve"> Burns Hubley LLP</w:t>
            </w:r>
            <w:r w:rsidR="00824412" w:rsidRPr="006E7BAE">
              <w:t>.</w:t>
            </w:r>
          </w:p>
          <w:p w14:paraId="06517D3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4" w:type="pct"/>
          </w:tcPr>
          <w:p w14:paraId="7F3D7AD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2" w:type="pct"/>
          </w:tcPr>
          <w:p w14:paraId="749DD4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E6A4A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477F4C" w14:textId="77777777" w:rsidR="003F6511" w:rsidRPr="006E7BAE" w:rsidRDefault="00CF5CC2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réponse à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35C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917B6A" w:rsidRPr="000E35C6">
              <w:rPr>
                <w:lang w:val="fr-CA"/>
              </w:rPr>
              <w:t>C70459</w:t>
            </w:r>
            <w:r w:rsidR="00917B6A" w:rsidRPr="006E7BAE">
              <w:rPr>
                <w:lang w:val="fr-CA"/>
              </w:rPr>
              <w:t>,</w:t>
            </w:r>
            <w:r w:rsidR="00917B6A">
              <w:rPr>
                <w:lang w:val="fr-CA"/>
              </w:rPr>
              <w:t xml:space="preserve"> </w:t>
            </w:r>
            <w:r w:rsidR="00824412" w:rsidRPr="000E35C6">
              <w:rPr>
                <w:lang w:val="fr-CA"/>
              </w:rPr>
              <w:t xml:space="preserve">2023 ONCA 686,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35C6">
              <w:rPr>
                <w:lang w:val="fr-CA"/>
              </w:rPr>
              <w:t>20</w:t>
            </w:r>
            <w:r w:rsidR="00917B6A">
              <w:rPr>
                <w:lang w:val="fr-CA"/>
              </w:rPr>
              <w:t> </w:t>
            </w:r>
            <w:r w:rsidR="00824412" w:rsidRPr="000E35C6">
              <w:rPr>
                <w:lang w:val="fr-CA"/>
              </w:rPr>
              <w:t>octobre</w:t>
            </w:r>
            <w:r w:rsidR="00917B6A">
              <w:rPr>
                <w:lang w:val="fr-CA"/>
              </w:rPr>
              <w:t> </w:t>
            </w:r>
            <w:r w:rsidR="00824412" w:rsidRPr="000E35C6">
              <w:rPr>
                <w:lang w:val="fr-CA"/>
              </w:rPr>
              <w:t>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 en faveur des intimés Paul</w:t>
            </w:r>
            <w:r w:rsidR="00416CA6">
              <w:rPr>
                <w:lang w:val="fr-CA"/>
              </w:rPr>
              <w:t> </w:t>
            </w:r>
            <w:r>
              <w:rPr>
                <w:lang w:val="fr-CA"/>
              </w:rPr>
              <w:t>Gribilas et Burns Hubley LLP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8C9134" w14:textId="77777777" w:rsidR="00CF5CC2" w:rsidRPr="00CF5CC2" w:rsidRDefault="00CF5CC2" w:rsidP="00382FEC">
      <w:pPr>
        <w:rPr>
          <w:lang w:val="fr-CA"/>
        </w:rPr>
      </w:pPr>
    </w:p>
    <w:p w14:paraId="70AB2F56" w14:textId="77777777" w:rsidR="009F436C" w:rsidRDefault="009F436C" w:rsidP="00417FB7">
      <w:pPr>
        <w:jc w:val="center"/>
        <w:rPr>
          <w:lang w:val="fr-CA"/>
        </w:rPr>
      </w:pPr>
    </w:p>
    <w:p w14:paraId="0562B20D" w14:textId="77777777" w:rsidR="007D24D8" w:rsidRPr="00CF5CC2" w:rsidRDefault="007D24D8" w:rsidP="00417FB7">
      <w:pPr>
        <w:jc w:val="center"/>
        <w:rPr>
          <w:lang w:val="fr-CA"/>
        </w:rPr>
      </w:pPr>
    </w:p>
    <w:p w14:paraId="7243DFF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F3EBF6" w14:textId="77777777" w:rsidR="003A37CF" w:rsidRPr="00D83B8C" w:rsidRDefault="003A37CF" w:rsidP="00917B6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02C7" w14:textId="77777777" w:rsidR="00983D48" w:rsidRDefault="00983D48">
      <w:r>
        <w:separator/>
      </w:r>
    </w:p>
  </w:endnote>
  <w:endnote w:type="continuationSeparator" w:id="0">
    <w:p w14:paraId="2F5630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2CFD9" w14:textId="77777777" w:rsidR="00983D48" w:rsidRDefault="00983D48">
      <w:r>
        <w:separator/>
      </w:r>
    </w:p>
  </w:footnote>
  <w:footnote w:type="continuationSeparator" w:id="0">
    <w:p w14:paraId="73CC808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68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4EB72A" w14:textId="77777777" w:rsidR="008F53F3" w:rsidRDefault="008F53F3" w:rsidP="008F53F3">
    <w:pPr>
      <w:rPr>
        <w:szCs w:val="24"/>
      </w:rPr>
    </w:pPr>
  </w:p>
  <w:p w14:paraId="34D5942F" w14:textId="77777777" w:rsidR="008F53F3" w:rsidRDefault="008F53F3" w:rsidP="008F53F3">
    <w:pPr>
      <w:rPr>
        <w:szCs w:val="24"/>
      </w:rPr>
    </w:pPr>
  </w:p>
  <w:p w14:paraId="00A2A55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41042</w:t>
    </w:r>
    <w:r>
      <w:rPr>
        <w:szCs w:val="24"/>
      </w:rPr>
      <w:t>     </w:t>
    </w:r>
  </w:p>
  <w:p w14:paraId="7AACF0E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E05A0C" w14:textId="77777777" w:rsidR="0073151A" w:rsidRDefault="0073151A" w:rsidP="0073151A"/>
      <w:p w14:paraId="5CEB85FA" w14:textId="77777777" w:rsidR="0073151A" w:rsidRPr="006E7BAE" w:rsidRDefault="0073151A" w:rsidP="0073151A"/>
      <w:p w14:paraId="527FBF55" w14:textId="77777777" w:rsidR="0073151A" w:rsidRPr="006E7BAE" w:rsidRDefault="0073151A" w:rsidP="0073151A"/>
      <w:p w14:paraId="09DBEEDB" w14:textId="77777777" w:rsidR="0073151A" w:rsidRPr="006E7BAE" w:rsidRDefault="0073151A" w:rsidP="0073151A"/>
      <w:p w14:paraId="55670C44" w14:textId="77777777" w:rsidR="0073151A" w:rsidRDefault="0073151A" w:rsidP="0073151A"/>
      <w:p w14:paraId="6D4E7C32" w14:textId="77777777" w:rsidR="0073151A" w:rsidRDefault="0073151A" w:rsidP="0073151A"/>
      <w:p w14:paraId="76FF6ECA" w14:textId="77777777" w:rsidR="0073151A" w:rsidRDefault="0073151A" w:rsidP="0073151A"/>
      <w:p w14:paraId="404A397D" w14:textId="77777777" w:rsidR="0073151A" w:rsidRDefault="0073151A" w:rsidP="0073151A"/>
      <w:p w14:paraId="7A8C3EDB" w14:textId="77777777" w:rsidR="0073151A" w:rsidRDefault="0073151A" w:rsidP="0073151A"/>
      <w:p w14:paraId="71545E94" w14:textId="77777777" w:rsidR="0073151A" w:rsidRPr="006E7BAE" w:rsidRDefault="0073151A" w:rsidP="0073151A"/>
      <w:p w14:paraId="4CBD39E4" w14:textId="77777777" w:rsidR="00ED265D" w:rsidRPr="0073151A" w:rsidRDefault="006F304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35C6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300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6CA6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3046"/>
    <w:rsid w:val="00701109"/>
    <w:rsid w:val="0073151A"/>
    <w:rsid w:val="007372EA"/>
    <w:rsid w:val="00777612"/>
    <w:rsid w:val="0079129C"/>
    <w:rsid w:val="007917FE"/>
    <w:rsid w:val="007A54CC"/>
    <w:rsid w:val="007C5DE8"/>
    <w:rsid w:val="007D24D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7B6A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3C87"/>
    <w:rsid w:val="00B158E3"/>
    <w:rsid w:val="00B328CD"/>
    <w:rsid w:val="00B408F8"/>
    <w:rsid w:val="00B42413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5CC2"/>
    <w:rsid w:val="00D42339"/>
    <w:rsid w:val="00D552CC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498B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CF5CC2"/>
  </w:style>
  <w:style w:type="paragraph" w:styleId="Revision">
    <w:name w:val="Revision"/>
    <w:hidden/>
    <w:uiPriority w:val="99"/>
    <w:semiHidden/>
    <w:rsid w:val="00D552C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03ACC-3EE8-47E4-8C65-F69A1B5B60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7273018-D1E5-48D3-A9A9-27F1422F8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03939-F8ED-4934-A571-23C9F94E3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2024-05-28T13:26:00Z</dcterms:created>
  <dcterms:modified xsi:type="dcterms:W3CDTF">2024-05-28T13:26:00Z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