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7569E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41080</w:t>
      </w:r>
      <w:r w:rsidR="0016666F" w:rsidRPr="006E7BAE">
        <w:t>     </w:t>
      </w:r>
    </w:p>
    <w:p w14:paraId="70E2CF5A" w14:textId="77777777" w:rsidR="009F436C" w:rsidRPr="006E7BAE" w:rsidRDefault="009F436C" w:rsidP="00382FEC"/>
    <w:p w14:paraId="4839955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31"/>
        <w:gridCol w:w="631"/>
        <w:gridCol w:w="4498"/>
      </w:tblGrid>
      <w:tr w:rsidR="00417FB7" w:rsidRPr="006E7BAE" w14:paraId="25D4F30D" w14:textId="77777777" w:rsidTr="00B02DF7">
        <w:tc>
          <w:tcPr>
            <w:tcW w:w="2260" w:type="pct"/>
          </w:tcPr>
          <w:p w14:paraId="64244A15" w14:textId="77777777" w:rsidR="00417FB7" w:rsidRPr="006E7BAE" w:rsidRDefault="00EC6655" w:rsidP="008262A3">
            <w:r>
              <w:t>June 20</w:t>
            </w:r>
            <w:r w:rsidR="00543EDD">
              <w:t>, 2024</w:t>
            </w:r>
          </w:p>
        </w:tc>
        <w:tc>
          <w:tcPr>
            <w:tcW w:w="337" w:type="pct"/>
          </w:tcPr>
          <w:p w14:paraId="5F3AE909" w14:textId="77777777" w:rsidR="00417FB7" w:rsidRPr="006E7BAE" w:rsidRDefault="00417FB7" w:rsidP="00382FEC"/>
        </w:tc>
        <w:tc>
          <w:tcPr>
            <w:tcW w:w="2404" w:type="pct"/>
          </w:tcPr>
          <w:p w14:paraId="720ADD33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EC6655">
              <w:t>20 juin</w:t>
            </w:r>
            <w:r>
              <w:t xml:space="preserve"> 2024</w:t>
            </w:r>
          </w:p>
        </w:tc>
      </w:tr>
      <w:tr w:rsidR="00E12A51" w:rsidRPr="006E7BAE" w14:paraId="28EABCB7" w14:textId="77777777" w:rsidTr="00B02DF7">
        <w:tc>
          <w:tcPr>
            <w:tcW w:w="2260" w:type="pct"/>
            <w:tcMar>
              <w:top w:w="0" w:type="dxa"/>
              <w:bottom w:w="0" w:type="dxa"/>
            </w:tcMar>
          </w:tcPr>
          <w:p w14:paraId="757D0792" w14:textId="77777777" w:rsidR="00C2612E" w:rsidRPr="006E7BAE" w:rsidRDefault="00C2612E" w:rsidP="008262A3"/>
        </w:tc>
        <w:tc>
          <w:tcPr>
            <w:tcW w:w="337" w:type="pct"/>
            <w:tcMar>
              <w:top w:w="0" w:type="dxa"/>
              <w:bottom w:w="0" w:type="dxa"/>
            </w:tcMar>
          </w:tcPr>
          <w:p w14:paraId="589861AD" w14:textId="77777777" w:rsidR="00E12A51" w:rsidRPr="006E7BAE" w:rsidRDefault="00E12A51" w:rsidP="00382FEC"/>
        </w:tc>
        <w:tc>
          <w:tcPr>
            <w:tcW w:w="2404" w:type="pct"/>
            <w:tcMar>
              <w:top w:w="0" w:type="dxa"/>
              <w:bottom w:w="0" w:type="dxa"/>
            </w:tcMar>
          </w:tcPr>
          <w:p w14:paraId="68E80A9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3F92C02" w14:textId="77777777" w:rsidTr="00B02DF7">
        <w:tc>
          <w:tcPr>
            <w:tcW w:w="2260" w:type="pct"/>
          </w:tcPr>
          <w:p w14:paraId="50567000" w14:textId="77777777" w:rsidR="003A75A8" w:rsidRDefault="003A75A8"/>
          <w:p w14:paraId="1F13A0B2" w14:textId="77777777" w:rsidR="003A75A8" w:rsidRDefault="00583EAB">
            <w:pPr>
              <w:pStyle w:val="SCCLsocPrefix"/>
            </w:pPr>
            <w:r>
              <w:t>BETWEEN:</w:t>
            </w:r>
          </w:p>
          <w:p w14:paraId="4F088755" w14:textId="77777777" w:rsidR="00583EAB" w:rsidRPr="00583EAB" w:rsidRDefault="00583EAB" w:rsidP="00583EAB"/>
          <w:p w14:paraId="153CAA56" w14:textId="77777777" w:rsidR="003A75A8" w:rsidRDefault="00583EAB">
            <w:pPr>
              <w:pStyle w:val="SCCLsocParty"/>
            </w:pPr>
            <w:r>
              <w:t>Tanya Rebello</w:t>
            </w:r>
            <w:r>
              <w:br/>
            </w:r>
          </w:p>
          <w:p w14:paraId="535F72A4" w14:textId="77777777" w:rsidR="003A75A8" w:rsidRDefault="00583EAB">
            <w:pPr>
              <w:pStyle w:val="SCCLsocPartyRole"/>
            </w:pPr>
            <w:r>
              <w:t>Applicant</w:t>
            </w:r>
            <w:r>
              <w:br/>
            </w:r>
          </w:p>
          <w:p w14:paraId="0FBDEFC6" w14:textId="77777777" w:rsidR="003A75A8" w:rsidRDefault="00583EAB">
            <w:pPr>
              <w:pStyle w:val="SCCLsocVersus"/>
            </w:pPr>
            <w:r>
              <w:t>- and -</w:t>
            </w:r>
          </w:p>
          <w:p w14:paraId="04A42B84" w14:textId="77777777" w:rsidR="003A75A8" w:rsidRDefault="003A75A8"/>
          <w:p w14:paraId="29261D5A" w14:textId="77777777" w:rsidR="003A75A8" w:rsidRDefault="00583EAB">
            <w:pPr>
              <w:pStyle w:val="SCCLsocParty"/>
            </w:pPr>
            <w:r>
              <w:t>Bank of Nova Scotia, President and Chief Executive Officer of the Bank of Nova Scotia, Board of Directors of the Bank of Nova Scotia, Aimee Zavagno, Tom</w:t>
            </w:r>
            <w:r w:rsidR="001E2129">
              <w:t> </w:t>
            </w:r>
            <w:r>
              <w:t>Murphy and Brian Johnson</w:t>
            </w:r>
            <w:r>
              <w:br/>
            </w:r>
          </w:p>
          <w:p w14:paraId="3640DA97" w14:textId="69C36793" w:rsidR="003A75A8" w:rsidRDefault="00583EAB">
            <w:pPr>
              <w:pStyle w:val="SCCLsocPartyRole"/>
            </w:pPr>
            <w:r>
              <w:t>Respondent</w:t>
            </w:r>
            <w:r w:rsidR="00355656">
              <w:t>s</w:t>
            </w:r>
          </w:p>
        </w:tc>
        <w:tc>
          <w:tcPr>
            <w:tcW w:w="337" w:type="pct"/>
          </w:tcPr>
          <w:p w14:paraId="710EA4F9" w14:textId="77777777" w:rsidR="00824412" w:rsidRPr="006E7BAE" w:rsidRDefault="00824412" w:rsidP="00375294"/>
        </w:tc>
        <w:tc>
          <w:tcPr>
            <w:tcW w:w="2404" w:type="pct"/>
          </w:tcPr>
          <w:p w14:paraId="59DBE7A8" w14:textId="77777777" w:rsidR="003A75A8" w:rsidRPr="00A34466" w:rsidRDefault="003A75A8">
            <w:pPr>
              <w:rPr>
                <w:lang w:val="fr-CA"/>
              </w:rPr>
            </w:pPr>
          </w:p>
          <w:p w14:paraId="6452F3F7" w14:textId="77777777" w:rsidR="003A75A8" w:rsidRDefault="00583EAB">
            <w:pPr>
              <w:pStyle w:val="SCCLsocPrefix"/>
              <w:rPr>
                <w:lang w:val="fr-CA"/>
              </w:rPr>
            </w:pPr>
            <w:r w:rsidRPr="00A34466">
              <w:rPr>
                <w:lang w:val="fr-CA"/>
              </w:rPr>
              <w:t>ENTRE :</w:t>
            </w:r>
          </w:p>
          <w:p w14:paraId="5D664610" w14:textId="77777777" w:rsidR="00583EAB" w:rsidRPr="00583EAB" w:rsidRDefault="00583EAB" w:rsidP="00583EAB">
            <w:pPr>
              <w:rPr>
                <w:lang w:val="fr-CA"/>
              </w:rPr>
            </w:pPr>
          </w:p>
          <w:p w14:paraId="379AACE7" w14:textId="77777777" w:rsidR="003A75A8" w:rsidRPr="00A34466" w:rsidRDefault="00583EAB">
            <w:pPr>
              <w:pStyle w:val="SCCLsocParty"/>
              <w:rPr>
                <w:lang w:val="fr-CA"/>
              </w:rPr>
            </w:pPr>
            <w:r w:rsidRPr="00A34466">
              <w:rPr>
                <w:lang w:val="fr-CA"/>
              </w:rPr>
              <w:t>Tanya Rebello</w:t>
            </w:r>
            <w:r w:rsidRPr="00A34466">
              <w:rPr>
                <w:lang w:val="fr-CA"/>
              </w:rPr>
              <w:br/>
            </w:r>
          </w:p>
          <w:p w14:paraId="43E7F2A2" w14:textId="77777777" w:rsidR="003A75A8" w:rsidRPr="00A34466" w:rsidRDefault="00583EAB">
            <w:pPr>
              <w:pStyle w:val="SCCLsocPartyRole"/>
              <w:rPr>
                <w:lang w:val="fr-CA"/>
              </w:rPr>
            </w:pPr>
            <w:r w:rsidRPr="00A34466">
              <w:rPr>
                <w:lang w:val="fr-CA"/>
              </w:rPr>
              <w:t>Demanderesse</w:t>
            </w:r>
            <w:r w:rsidRPr="00A34466">
              <w:rPr>
                <w:lang w:val="fr-CA"/>
              </w:rPr>
              <w:br/>
            </w:r>
          </w:p>
          <w:p w14:paraId="34540D17" w14:textId="77777777" w:rsidR="003A75A8" w:rsidRPr="00A97C7B" w:rsidRDefault="00583EAB">
            <w:pPr>
              <w:pStyle w:val="SCCLsocVersus"/>
              <w:rPr>
                <w:lang w:val="fr-CA"/>
              </w:rPr>
            </w:pPr>
            <w:r w:rsidRPr="00A97C7B">
              <w:rPr>
                <w:lang w:val="fr-CA"/>
              </w:rPr>
              <w:t>- et -</w:t>
            </w:r>
          </w:p>
          <w:p w14:paraId="1786F5D6" w14:textId="77777777" w:rsidR="003A75A8" w:rsidRPr="00A97C7B" w:rsidRDefault="003A75A8">
            <w:pPr>
              <w:rPr>
                <w:lang w:val="fr-CA"/>
              </w:rPr>
            </w:pPr>
          </w:p>
          <w:p w14:paraId="582E114C" w14:textId="77777777" w:rsidR="00355656" w:rsidRPr="00EB5CEA" w:rsidRDefault="00355656" w:rsidP="00355656">
            <w:pPr>
              <w:jc w:val="center"/>
              <w:rPr>
                <w:rFonts w:cs="Times New Roman"/>
                <w:szCs w:val="24"/>
                <w:lang w:val="fr-CA"/>
              </w:rPr>
            </w:pPr>
            <w:r w:rsidRPr="00EB5CEA">
              <w:rPr>
                <w:rFonts w:cs="Times New Roman"/>
                <w:szCs w:val="24"/>
                <w:lang w:val="fr-CA"/>
              </w:rPr>
              <w:t>La Banque de Nouvelle-Écosse, président‐directeur général de La Banque de Nouvelle-Écosse, conseil d’administration de La Banque de Nouvelle-Écosse, Aimee</w:t>
            </w:r>
            <w:bookmarkStart w:id="0" w:name="_GoBack"/>
            <w:bookmarkEnd w:id="0"/>
            <w:r w:rsidRPr="00EB5CEA">
              <w:rPr>
                <w:rFonts w:cs="Times New Roman"/>
                <w:szCs w:val="24"/>
                <w:lang w:val="fr-CA"/>
              </w:rPr>
              <w:t xml:space="preserve"> Zavagno, Tom Murphy et Brian Johnson</w:t>
            </w:r>
          </w:p>
          <w:p w14:paraId="6B0ED580" w14:textId="77777777" w:rsidR="00B02DF7" w:rsidRDefault="00B02DF7">
            <w:pPr>
              <w:pStyle w:val="SCCLsocPartyRole"/>
            </w:pPr>
          </w:p>
          <w:p w14:paraId="0998BF8D" w14:textId="5A5E3472" w:rsidR="003A75A8" w:rsidRDefault="00583EAB">
            <w:pPr>
              <w:pStyle w:val="SCCLsocPartyRole"/>
            </w:pPr>
            <w:r>
              <w:t>Intimé</w:t>
            </w:r>
            <w:r w:rsidR="00355656">
              <w:t>s</w:t>
            </w:r>
          </w:p>
        </w:tc>
      </w:tr>
      <w:tr w:rsidR="00824412" w:rsidRPr="006E7BAE" w14:paraId="72108F45" w14:textId="77777777" w:rsidTr="00B02DF7">
        <w:tc>
          <w:tcPr>
            <w:tcW w:w="2260" w:type="pct"/>
            <w:tcMar>
              <w:top w:w="0" w:type="dxa"/>
              <w:bottom w:w="0" w:type="dxa"/>
            </w:tcMar>
          </w:tcPr>
          <w:p w14:paraId="491A33E0" w14:textId="77777777" w:rsidR="00824412" w:rsidRPr="006E7BAE" w:rsidRDefault="00824412" w:rsidP="00375294"/>
        </w:tc>
        <w:tc>
          <w:tcPr>
            <w:tcW w:w="337" w:type="pct"/>
            <w:tcMar>
              <w:top w:w="0" w:type="dxa"/>
              <w:bottom w:w="0" w:type="dxa"/>
            </w:tcMar>
          </w:tcPr>
          <w:p w14:paraId="0D44E87A" w14:textId="77777777" w:rsidR="00824412" w:rsidRPr="006E7BAE" w:rsidRDefault="00824412" w:rsidP="00375294"/>
        </w:tc>
        <w:tc>
          <w:tcPr>
            <w:tcW w:w="2404" w:type="pct"/>
            <w:tcMar>
              <w:top w:w="0" w:type="dxa"/>
              <w:bottom w:w="0" w:type="dxa"/>
            </w:tcMar>
          </w:tcPr>
          <w:p w14:paraId="27974A7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02DF7" w14:paraId="787CC227" w14:textId="77777777" w:rsidTr="00B02DF7">
        <w:tc>
          <w:tcPr>
            <w:tcW w:w="2260" w:type="pct"/>
          </w:tcPr>
          <w:p w14:paraId="0055345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FC4D0C7" w14:textId="77777777" w:rsidR="00824412" w:rsidRPr="006E7BAE" w:rsidRDefault="00824412" w:rsidP="00417FB7">
            <w:pPr>
              <w:jc w:val="center"/>
            </w:pPr>
          </w:p>
          <w:p w14:paraId="1C8A5BD5" w14:textId="6A59945A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CE4156">
              <w:t>s</w:t>
            </w:r>
            <w:r w:rsidRPr="006E7BAE">
              <w:t xml:space="preserve"> </w:t>
            </w:r>
            <w:r w:rsidR="001E2129">
              <w:t>C70940</w:t>
            </w:r>
            <w:r w:rsidR="00CE4156">
              <w:t xml:space="preserve"> and </w:t>
            </w:r>
            <w:r w:rsidR="00CE4156" w:rsidRPr="00CE4156">
              <w:t>COA-23-CV-0092</w:t>
            </w:r>
            <w:r w:rsidR="001E2129" w:rsidRPr="006E7BAE">
              <w:t xml:space="preserve">, </w:t>
            </w:r>
            <w:r>
              <w:t xml:space="preserve">2023 ONCA </w:t>
            </w:r>
            <w:r w:rsidR="001E2129">
              <w:t xml:space="preserve">734, </w:t>
            </w:r>
            <w:r w:rsidRPr="006E7BAE">
              <w:t xml:space="preserve">dated </w:t>
            </w:r>
            <w:r>
              <w:t>November 3, 2023</w:t>
            </w:r>
            <w:r w:rsidR="00355656">
              <w:t>,</w:t>
            </w:r>
            <w:r w:rsidRPr="006E7BAE">
              <w:t xml:space="preserve"> is </w:t>
            </w:r>
            <w:r w:rsidR="00A97C7B">
              <w:t>dismissed with costs</w:t>
            </w:r>
            <w:r w:rsidRPr="006E7BAE">
              <w:t>.</w:t>
            </w:r>
          </w:p>
          <w:p w14:paraId="02F1ADB5" w14:textId="77777777" w:rsidR="003F6511" w:rsidRPr="006E7BAE" w:rsidRDefault="003F6511" w:rsidP="00011960">
            <w:pPr>
              <w:jc w:val="both"/>
            </w:pPr>
          </w:p>
        </w:tc>
        <w:tc>
          <w:tcPr>
            <w:tcW w:w="337" w:type="pct"/>
          </w:tcPr>
          <w:p w14:paraId="0CA1BC7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404" w:type="pct"/>
          </w:tcPr>
          <w:p w14:paraId="33C8E90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DA12F7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BA6C913" w14:textId="4A2C6A7D" w:rsidR="003F6511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34466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CE4156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583EAB" w:rsidRPr="00A34466">
              <w:rPr>
                <w:lang w:val="fr-CA"/>
              </w:rPr>
              <w:t>C70940</w:t>
            </w:r>
            <w:r w:rsidR="00CE4156">
              <w:rPr>
                <w:lang w:val="fr-CA"/>
              </w:rPr>
              <w:t xml:space="preserve"> et COA-23-CV-0092</w:t>
            </w:r>
            <w:r w:rsidR="00583EAB" w:rsidRPr="006E7BAE">
              <w:rPr>
                <w:lang w:val="fr-CA"/>
              </w:rPr>
              <w:t>,</w:t>
            </w:r>
            <w:r w:rsidR="00583EAB">
              <w:rPr>
                <w:lang w:val="fr-CA"/>
              </w:rPr>
              <w:t xml:space="preserve"> </w:t>
            </w:r>
            <w:r w:rsidRPr="00A34466">
              <w:rPr>
                <w:lang w:val="fr-CA"/>
              </w:rPr>
              <w:t xml:space="preserve">2023 ONCA 734,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34466">
              <w:rPr>
                <w:lang w:val="fr-CA"/>
              </w:rPr>
              <w:t>3</w:t>
            </w:r>
            <w:r w:rsidR="00A97C7B">
              <w:rPr>
                <w:lang w:val="fr-CA"/>
              </w:rPr>
              <w:t> </w:t>
            </w:r>
            <w:r w:rsidRPr="00A34466">
              <w:rPr>
                <w:lang w:val="fr-CA"/>
              </w:rPr>
              <w:t>novembre</w:t>
            </w:r>
            <w:r w:rsidR="00A97C7B">
              <w:rPr>
                <w:lang w:val="fr-CA"/>
              </w:rPr>
              <w:t> </w:t>
            </w:r>
            <w:r w:rsidRPr="00A34466">
              <w:rPr>
                <w:lang w:val="fr-CA"/>
              </w:rPr>
              <w:t>2023</w:t>
            </w:r>
            <w:r w:rsidRPr="006E7BAE">
              <w:rPr>
                <w:lang w:val="fr-CA"/>
              </w:rPr>
              <w:t xml:space="preserve">, est </w:t>
            </w:r>
            <w:r w:rsidR="00A97C7B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53153DE" w14:textId="77777777" w:rsidR="009F436C" w:rsidRPr="00D83B8C" w:rsidRDefault="009F436C" w:rsidP="00382FEC">
      <w:pPr>
        <w:rPr>
          <w:lang w:val="fr-CA"/>
        </w:rPr>
      </w:pPr>
    </w:p>
    <w:p w14:paraId="306B55AC" w14:textId="77777777" w:rsidR="009F436C" w:rsidRDefault="009F436C" w:rsidP="00417FB7">
      <w:pPr>
        <w:jc w:val="center"/>
        <w:rPr>
          <w:lang w:val="fr-CA"/>
        </w:rPr>
      </w:pPr>
    </w:p>
    <w:p w14:paraId="3352475C" w14:textId="77777777" w:rsidR="00B02DF7" w:rsidRPr="00D83B8C" w:rsidRDefault="00B02DF7" w:rsidP="00417FB7">
      <w:pPr>
        <w:jc w:val="center"/>
        <w:rPr>
          <w:lang w:val="fr-CA"/>
        </w:rPr>
      </w:pPr>
    </w:p>
    <w:p w14:paraId="20C28226" w14:textId="77777777" w:rsidR="009F436C" w:rsidRPr="00D83B8C" w:rsidRDefault="009F436C" w:rsidP="00417FB7">
      <w:pPr>
        <w:jc w:val="center"/>
        <w:rPr>
          <w:lang w:val="fr-CA"/>
        </w:rPr>
      </w:pPr>
    </w:p>
    <w:p w14:paraId="6107BD6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0F9EAD8" w14:textId="77777777" w:rsidR="003A37CF" w:rsidRPr="00D83B8C" w:rsidRDefault="003A37CF" w:rsidP="00583EAB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C8AE5" w14:textId="77777777" w:rsidR="00983D48" w:rsidRDefault="00983D48">
      <w:r>
        <w:separator/>
      </w:r>
    </w:p>
  </w:endnote>
  <w:endnote w:type="continuationSeparator" w:id="0">
    <w:p w14:paraId="589953E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32971" w14:textId="77777777" w:rsidR="00983D48" w:rsidRDefault="00983D48">
      <w:r>
        <w:separator/>
      </w:r>
    </w:p>
  </w:footnote>
  <w:footnote w:type="continuationSeparator" w:id="0">
    <w:p w14:paraId="5129B40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1898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02DF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E358E52" w14:textId="77777777" w:rsidR="008F53F3" w:rsidRDefault="008F53F3" w:rsidP="008F53F3">
    <w:pPr>
      <w:rPr>
        <w:szCs w:val="24"/>
      </w:rPr>
    </w:pPr>
  </w:p>
  <w:p w14:paraId="07A19734" w14:textId="77777777" w:rsidR="008F53F3" w:rsidRDefault="008F53F3" w:rsidP="008F53F3">
    <w:pPr>
      <w:rPr>
        <w:szCs w:val="24"/>
      </w:rPr>
    </w:pPr>
  </w:p>
  <w:p w14:paraId="5D32529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41080</w:t>
    </w:r>
    <w:r>
      <w:rPr>
        <w:szCs w:val="24"/>
      </w:rPr>
      <w:t>     </w:t>
    </w:r>
  </w:p>
  <w:p w14:paraId="6E97188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3F8A04D" w14:textId="77777777" w:rsidR="0073151A" w:rsidRDefault="0073151A" w:rsidP="0073151A"/>
      <w:p w14:paraId="142A7E58" w14:textId="77777777" w:rsidR="0073151A" w:rsidRPr="006E7BAE" w:rsidRDefault="0073151A" w:rsidP="0073151A"/>
      <w:p w14:paraId="3D3DBDAD" w14:textId="77777777" w:rsidR="0073151A" w:rsidRPr="006E7BAE" w:rsidRDefault="0073151A" w:rsidP="0073151A"/>
      <w:p w14:paraId="04A2692C" w14:textId="77777777" w:rsidR="0073151A" w:rsidRPr="006E7BAE" w:rsidRDefault="0073151A" w:rsidP="0073151A"/>
      <w:p w14:paraId="65A96FDC" w14:textId="77777777" w:rsidR="0073151A" w:rsidRDefault="0073151A" w:rsidP="0073151A"/>
      <w:p w14:paraId="30353193" w14:textId="77777777" w:rsidR="0073151A" w:rsidRDefault="0073151A" w:rsidP="0073151A"/>
      <w:p w14:paraId="03BBA867" w14:textId="77777777" w:rsidR="0073151A" w:rsidRDefault="0073151A" w:rsidP="0073151A"/>
      <w:p w14:paraId="51381C48" w14:textId="77777777" w:rsidR="0073151A" w:rsidRDefault="0073151A" w:rsidP="0073151A"/>
      <w:p w14:paraId="70A1DE14" w14:textId="77777777" w:rsidR="0073151A" w:rsidRDefault="0073151A" w:rsidP="0073151A"/>
      <w:p w14:paraId="0CD1A300" w14:textId="77777777" w:rsidR="0073151A" w:rsidRPr="006E7BAE" w:rsidRDefault="0073151A" w:rsidP="0073151A"/>
      <w:p w14:paraId="6166E2AE" w14:textId="77777777" w:rsidR="00ED265D" w:rsidRPr="0073151A" w:rsidRDefault="00BE495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E212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5656"/>
    <w:rsid w:val="00356186"/>
    <w:rsid w:val="00374E7D"/>
    <w:rsid w:val="00375294"/>
    <w:rsid w:val="00382FC7"/>
    <w:rsid w:val="00382FEC"/>
    <w:rsid w:val="00385A90"/>
    <w:rsid w:val="003A37CF"/>
    <w:rsid w:val="003A75A8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145E2"/>
    <w:rsid w:val="00543EDD"/>
    <w:rsid w:val="0055345D"/>
    <w:rsid w:val="00563E2C"/>
    <w:rsid w:val="00583EAB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A3ABA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34466"/>
    <w:rsid w:val="00A97C7B"/>
    <w:rsid w:val="00AB4A38"/>
    <w:rsid w:val="00AB5E22"/>
    <w:rsid w:val="00AE2077"/>
    <w:rsid w:val="00B02DF7"/>
    <w:rsid w:val="00B158E3"/>
    <w:rsid w:val="00B328CD"/>
    <w:rsid w:val="00B408F8"/>
    <w:rsid w:val="00B5078E"/>
    <w:rsid w:val="00B60EDC"/>
    <w:rsid w:val="00BC39BE"/>
    <w:rsid w:val="00BD4E4C"/>
    <w:rsid w:val="00BE4953"/>
    <w:rsid w:val="00BF7644"/>
    <w:rsid w:val="00C1285B"/>
    <w:rsid w:val="00C173B0"/>
    <w:rsid w:val="00C17F71"/>
    <w:rsid w:val="00C2612E"/>
    <w:rsid w:val="00CB2B73"/>
    <w:rsid w:val="00CE249F"/>
    <w:rsid w:val="00CE4156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C6655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7DDF6EE"/>
  <w15:docId w15:val="{8B92AFA1-FBE4-46FB-AEBD-D4AE1955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41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1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156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1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156"/>
    <w:rPr>
      <w:rFonts w:ascii="Times New Roman" w:eastAsiaTheme="minorHAnsi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15533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2024-06-20T04:00:00+00:00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EF0FBAF8-FB6B-4DAF-AE12-24FB12A28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5DEE81-D299-498E-90A6-E42906C772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A91F83-7D95-4ACC-AD5B-C137BA409E3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Supreme Court of Canada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Carrière Caroline</dc:creator>
  <cp:lastModifiedBy>Carrière Caroline</cp:lastModifiedBy>
  <cp:revision>3</cp:revision>
  <dcterms:created xsi:type="dcterms:W3CDTF">2024-06-14T17:52:00Z</dcterms:created>
  <dcterms:modified xsi:type="dcterms:W3CDTF">2024-06-14T17:53:00Z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