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542AF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41143</w:t>
      </w:r>
      <w:r w:rsidR="0016666F" w:rsidRPr="006E7BAE">
        <w:t>     </w:t>
      </w:r>
    </w:p>
    <w:p w14:paraId="1A5C0B51" w14:textId="77777777" w:rsidR="009F436C" w:rsidRDefault="009F436C" w:rsidP="00382FEC"/>
    <w:p w14:paraId="582AF0CD" w14:textId="77777777" w:rsidR="000F6AD2" w:rsidRPr="006E7BAE" w:rsidRDefault="000F6AD2" w:rsidP="00382FEC"/>
    <w:p w14:paraId="0264C22A" w14:textId="77777777" w:rsidR="002568D3" w:rsidRPr="006E7BAE" w:rsidRDefault="002568D3" w:rsidP="00382FEC"/>
    <w:tbl>
      <w:tblPr>
        <w:tblW w:w="4856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0"/>
        <w:gridCol w:w="713"/>
        <w:gridCol w:w="4147"/>
      </w:tblGrid>
      <w:tr w:rsidR="00417FB7" w:rsidRPr="006E7BAE" w14:paraId="06F5EB93" w14:textId="77777777" w:rsidTr="005E0D19">
        <w:tc>
          <w:tcPr>
            <w:tcW w:w="2326" w:type="pct"/>
          </w:tcPr>
          <w:p w14:paraId="6E7988FE" w14:textId="77777777" w:rsidR="00417FB7" w:rsidRPr="006E7BAE" w:rsidRDefault="00B33780" w:rsidP="008262A3">
            <w:r>
              <w:t>August 8</w:t>
            </w:r>
            <w:r w:rsidR="00543EDD">
              <w:t>, 2024</w:t>
            </w:r>
          </w:p>
        </w:tc>
        <w:tc>
          <w:tcPr>
            <w:tcW w:w="392" w:type="pct"/>
          </w:tcPr>
          <w:p w14:paraId="478959E8" w14:textId="77777777" w:rsidR="00417FB7" w:rsidRPr="006E7BAE" w:rsidRDefault="00417FB7" w:rsidP="00382FEC"/>
        </w:tc>
        <w:tc>
          <w:tcPr>
            <w:tcW w:w="2281" w:type="pct"/>
          </w:tcPr>
          <w:p w14:paraId="7B4AFDC2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B33780">
              <w:t>8 août</w:t>
            </w:r>
            <w:r>
              <w:t xml:space="preserve"> 2024</w:t>
            </w:r>
          </w:p>
        </w:tc>
      </w:tr>
      <w:tr w:rsidR="00E12A51" w:rsidRPr="006E7BAE" w14:paraId="5314E97E" w14:textId="77777777" w:rsidTr="005E0D19">
        <w:tc>
          <w:tcPr>
            <w:tcW w:w="2326" w:type="pct"/>
            <w:tcMar>
              <w:top w:w="0" w:type="dxa"/>
              <w:bottom w:w="0" w:type="dxa"/>
            </w:tcMar>
          </w:tcPr>
          <w:p w14:paraId="235B0FB1" w14:textId="77777777" w:rsidR="00C2612E" w:rsidRPr="006E7BAE" w:rsidRDefault="00C2612E" w:rsidP="008262A3"/>
        </w:tc>
        <w:tc>
          <w:tcPr>
            <w:tcW w:w="392" w:type="pct"/>
            <w:tcMar>
              <w:top w:w="0" w:type="dxa"/>
              <w:bottom w:w="0" w:type="dxa"/>
            </w:tcMar>
          </w:tcPr>
          <w:p w14:paraId="7775AFFF" w14:textId="77777777" w:rsidR="00E12A51" w:rsidRPr="006E7BAE" w:rsidRDefault="00E12A51" w:rsidP="00382FEC"/>
        </w:tc>
        <w:tc>
          <w:tcPr>
            <w:tcW w:w="2281" w:type="pct"/>
            <w:tcMar>
              <w:top w:w="0" w:type="dxa"/>
              <w:bottom w:w="0" w:type="dxa"/>
            </w:tcMar>
          </w:tcPr>
          <w:p w14:paraId="78EDBA6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71A79E8" w14:textId="77777777" w:rsidTr="005E0D19">
        <w:tc>
          <w:tcPr>
            <w:tcW w:w="2326" w:type="pct"/>
          </w:tcPr>
          <w:p w14:paraId="644E6C26" w14:textId="77777777" w:rsidR="00DC38EC" w:rsidRDefault="00DC38EC"/>
          <w:p w14:paraId="2F97E4CB" w14:textId="77777777" w:rsidR="00DC38EC" w:rsidRDefault="000F6AD2">
            <w:pPr>
              <w:pStyle w:val="SCCLsocPrefix"/>
            </w:pPr>
            <w:r>
              <w:t>BETWEEN:</w:t>
            </w:r>
          </w:p>
          <w:p w14:paraId="7131044E" w14:textId="77777777" w:rsidR="000F6AD2" w:rsidRDefault="000F6AD2" w:rsidP="000F6AD2"/>
          <w:p w14:paraId="2EE086B6" w14:textId="77777777" w:rsidR="00E160C1" w:rsidRDefault="00E160C1" w:rsidP="00E160C1">
            <w:pPr>
              <w:pStyle w:val="SCCLsocParty"/>
              <w:jc w:val="left"/>
            </w:pPr>
          </w:p>
          <w:p w14:paraId="2411E8DA" w14:textId="77777777" w:rsidR="00DC38EC" w:rsidRDefault="000F6AD2" w:rsidP="00E160C1">
            <w:pPr>
              <w:pStyle w:val="SCCLsocParty"/>
            </w:pPr>
            <w:r>
              <w:t>Harvest Operations Corp. and Spoke Resources Ltd.</w:t>
            </w:r>
            <w:r>
              <w:br/>
            </w:r>
          </w:p>
          <w:p w14:paraId="5E1EB1AF" w14:textId="769CAFFB" w:rsidR="00DC38EC" w:rsidRDefault="000F6AD2">
            <w:pPr>
              <w:pStyle w:val="SCCLsocPartyRole"/>
            </w:pPr>
            <w:r>
              <w:t>Applicant</w:t>
            </w:r>
            <w:r w:rsidR="00E160C1">
              <w:t>s</w:t>
            </w:r>
            <w:r>
              <w:br/>
            </w:r>
          </w:p>
          <w:p w14:paraId="5A937EA5" w14:textId="77777777" w:rsidR="00DC38EC" w:rsidRDefault="000F6AD2">
            <w:pPr>
              <w:pStyle w:val="SCCLsocVersus"/>
            </w:pPr>
            <w:r>
              <w:t>- and -</w:t>
            </w:r>
          </w:p>
          <w:p w14:paraId="676E7008" w14:textId="77777777" w:rsidR="00DC38EC" w:rsidRDefault="00DC38EC"/>
          <w:p w14:paraId="12CCD8EC" w14:textId="4903E89B" w:rsidR="00DC38EC" w:rsidRDefault="000F6AD2">
            <w:pPr>
              <w:pStyle w:val="SCCLsocParty"/>
            </w:pPr>
            <w:r>
              <w:t xml:space="preserve">Canadian Natural Resources Limited, Canadian Natural Resources, </w:t>
            </w:r>
            <w:r w:rsidR="00E160C1">
              <w:t>a</w:t>
            </w:r>
            <w:r>
              <w:t xml:space="preserve"> General Partnership by its Managing Partner Canadian Natural Resources Limited, Canadian Natural Resources Northern Alberta Partnership, </w:t>
            </w:r>
            <w:r w:rsidR="00E160C1">
              <w:t>a</w:t>
            </w:r>
            <w:r>
              <w:t xml:space="preserve"> General Partnership by its Managing Partner, Canadian Natural Resources Limited, and CNR Royalty Partnership, </w:t>
            </w:r>
            <w:r w:rsidR="00E160C1">
              <w:t>a</w:t>
            </w:r>
            <w:r>
              <w:t xml:space="preserve"> General Partnership by its Managing Partner, Canadian Natural Resources Limited</w:t>
            </w:r>
            <w:r>
              <w:br/>
            </w:r>
          </w:p>
          <w:p w14:paraId="57AA8C6E" w14:textId="77777777" w:rsidR="00DC38EC" w:rsidRDefault="000F6AD2">
            <w:pPr>
              <w:pStyle w:val="SCCLsocPartyRole"/>
            </w:pPr>
            <w:r>
              <w:t>Respondents</w:t>
            </w:r>
          </w:p>
        </w:tc>
        <w:tc>
          <w:tcPr>
            <w:tcW w:w="392" w:type="pct"/>
          </w:tcPr>
          <w:p w14:paraId="44DA48BA" w14:textId="77777777" w:rsidR="00824412" w:rsidRPr="006E7BAE" w:rsidRDefault="00824412" w:rsidP="00375294"/>
        </w:tc>
        <w:tc>
          <w:tcPr>
            <w:tcW w:w="2281" w:type="pct"/>
          </w:tcPr>
          <w:p w14:paraId="0524EF93" w14:textId="77777777" w:rsidR="00DC38EC" w:rsidRDefault="00DC38EC"/>
          <w:p w14:paraId="7507925F" w14:textId="77777777" w:rsidR="00DC38EC" w:rsidRDefault="000F6AD2">
            <w:pPr>
              <w:pStyle w:val="SCCLsocPrefix"/>
            </w:pPr>
            <w:r>
              <w:t>ENTRE :</w:t>
            </w:r>
          </w:p>
          <w:p w14:paraId="3E873AA7" w14:textId="77777777" w:rsidR="000F6AD2" w:rsidRDefault="000F6AD2" w:rsidP="000F6AD2"/>
          <w:p w14:paraId="64E1E11F" w14:textId="77777777" w:rsidR="000F6AD2" w:rsidRPr="000F6AD2" w:rsidRDefault="000F6AD2" w:rsidP="000F6AD2"/>
          <w:p w14:paraId="488654E7" w14:textId="35FF5495" w:rsidR="00DC38EC" w:rsidRDefault="000F6AD2">
            <w:pPr>
              <w:pStyle w:val="SCCLsocParty"/>
            </w:pPr>
            <w:r>
              <w:t xml:space="preserve">Harvest Operations Corp. </w:t>
            </w:r>
            <w:r w:rsidR="008C2A2E">
              <w:t>et</w:t>
            </w:r>
            <w:r>
              <w:t xml:space="preserve"> Spoke Resources Ltd.</w:t>
            </w:r>
            <w:r>
              <w:br/>
            </w:r>
          </w:p>
          <w:p w14:paraId="6473F84F" w14:textId="74183567" w:rsidR="00DC38EC" w:rsidRDefault="000F6AD2">
            <w:pPr>
              <w:pStyle w:val="SCCLsocPartyRole"/>
            </w:pPr>
            <w:r>
              <w:t>Demanderesse</w:t>
            </w:r>
            <w:r w:rsidR="00E160C1">
              <w:t>s</w:t>
            </w:r>
            <w:r>
              <w:br/>
            </w:r>
          </w:p>
          <w:p w14:paraId="5009D919" w14:textId="77777777" w:rsidR="00DC38EC" w:rsidRDefault="000F6AD2">
            <w:pPr>
              <w:pStyle w:val="SCCLsocVersus"/>
            </w:pPr>
            <w:r>
              <w:t>- et -</w:t>
            </w:r>
          </w:p>
          <w:p w14:paraId="24DA6B3A" w14:textId="77777777" w:rsidR="00DC38EC" w:rsidRDefault="00DC38EC"/>
          <w:p w14:paraId="6A504D0F" w14:textId="7E2CDB73" w:rsidR="00DC38EC" w:rsidRDefault="000F6AD2">
            <w:pPr>
              <w:pStyle w:val="SCCLsocParty"/>
            </w:pPr>
            <w:r>
              <w:t xml:space="preserve">Canadian Natural Resources Limited, Canadian Natural Resources, </w:t>
            </w:r>
            <w:r w:rsidR="00E160C1">
              <w:t>a</w:t>
            </w:r>
            <w:r>
              <w:t xml:space="preserve"> General Partnership by its Managing Partner Canadian Natural Resources Limited, Canadian Natural Resources Northern Alberta Partnership, </w:t>
            </w:r>
            <w:r w:rsidR="00E160C1">
              <w:t>a</w:t>
            </w:r>
            <w:r>
              <w:t xml:space="preserve"> General Partnership by its Managing Partner, Canadian Natural Resources Limited, </w:t>
            </w:r>
            <w:r w:rsidR="008C2A2E">
              <w:t>et</w:t>
            </w:r>
            <w:r>
              <w:t xml:space="preserve"> CNR Royalty Partnership, </w:t>
            </w:r>
            <w:r w:rsidR="00E160C1">
              <w:t>a</w:t>
            </w:r>
            <w:r>
              <w:t xml:space="preserve"> General Partnership by its Managing Partner, Canadian Natural Resources Limited</w:t>
            </w:r>
            <w:r>
              <w:br/>
            </w:r>
          </w:p>
          <w:p w14:paraId="25A9331C" w14:textId="77777777" w:rsidR="00DC38EC" w:rsidRDefault="000F6AD2">
            <w:pPr>
              <w:pStyle w:val="SCCLsocPartyRole"/>
            </w:pPr>
            <w:r>
              <w:t>Intimées</w:t>
            </w:r>
          </w:p>
        </w:tc>
      </w:tr>
      <w:tr w:rsidR="00824412" w:rsidRPr="006E7BAE" w14:paraId="7B987446" w14:textId="77777777" w:rsidTr="005E0D19">
        <w:tc>
          <w:tcPr>
            <w:tcW w:w="2326" w:type="pct"/>
            <w:tcMar>
              <w:top w:w="0" w:type="dxa"/>
              <w:bottom w:w="0" w:type="dxa"/>
            </w:tcMar>
          </w:tcPr>
          <w:p w14:paraId="7DC3B715" w14:textId="77777777" w:rsidR="00824412" w:rsidRPr="006E7BAE" w:rsidRDefault="00824412" w:rsidP="00375294"/>
        </w:tc>
        <w:tc>
          <w:tcPr>
            <w:tcW w:w="392" w:type="pct"/>
            <w:tcMar>
              <w:top w:w="0" w:type="dxa"/>
              <w:bottom w:w="0" w:type="dxa"/>
            </w:tcMar>
          </w:tcPr>
          <w:p w14:paraId="58539FDB" w14:textId="77777777" w:rsidR="00824412" w:rsidRPr="006E7BAE" w:rsidRDefault="00824412" w:rsidP="00375294"/>
        </w:tc>
        <w:tc>
          <w:tcPr>
            <w:tcW w:w="2281" w:type="pct"/>
            <w:tcMar>
              <w:top w:w="0" w:type="dxa"/>
              <w:bottom w:w="0" w:type="dxa"/>
            </w:tcMar>
          </w:tcPr>
          <w:p w14:paraId="1B287EE2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5F0620" w14:paraId="52C38EF2" w14:textId="77777777" w:rsidTr="005E0D19">
        <w:tc>
          <w:tcPr>
            <w:tcW w:w="2326" w:type="pct"/>
          </w:tcPr>
          <w:p w14:paraId="22B188E8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FDE0047" w14:textId="77777777" w:rsidR="00824412" w:rsidRPr="006E7BAE" w:rsidRDefault="00824412" w:rsidP="00417FB7">
            <w:pPr>
              <w:jc w:val="center"/>
            </w:pPr>
          </w:p>
          <w:p w14:paraId="52BD6F05" w14:textId="0530186F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(Calgary)</w:t>
            </w:r>
            <w:r w:rsidRPr="006E7BAE">
              <w:t>, Number</w:t>
            </w:r>
            <w:r w:rsidR="000F6AD2">
              <w:t xml:space="preserve"> 2301-0049AC</w:t>
            </w:r>
            <w:r w:rsidR="000F6AD2" w:rsidRPr="006E7BAE">
              <w:t>,</w:t>
            </w:r>
            <w:r w:rsidRPr="006E7BAE">
              <w:t xml:space="preserve"> </w:t>
            </w:r>
            <w:r w:rsidR="00E160C1" w:rsidRPr="005F0620">
              <w:rPr>
                <w:rStyle w:val="Hyperlink"/>
                <w:color w:val="000000" w:themeColor="text1"/>
                <w:u w:val="none"/>
              </w:rPr>
              <w:t xml:space="preserve">2024 </w:t>
            </w:r>
            <w:r w:rsidR="00E160C1" w:rsidRPr="005F0620">
              <w:rPr>
                <w:rStyle w:val="Hyperlink"/>
                <w:color w:val="000000" w:themeColor="text1"/>
                <w:u w:val="none"/>
              </w:rPr>
              <w:lastRenderedPageBreak/>
              <w:t>ABCA 3</w:t>
            </w:r>
            <w:r>
              <w:t xml:space="preserve">, </w:t>
            </w:r>
            <w:r w:rsidRPr="006E7BAE">
              <w:t xml:space="preserve">dated </w:t>
            </w:r>
            <w:r>
              <w:t>January 3, 2024</w:t>
            </w:r>
            <w:r w:rsidR="00E160C1">
              <w:t>,</w:t>
            </w:r>
            <w:r w:rsidRPr="006E7BAE">
              <w:t xml:space="preserve"> is </w:t>
            </w:r>
            <w:r w:rsidR="005E0D19">
              <w:t>dismissed with costs</w:t>
            </w:r>
            <w:r w:rsidRPr="006E7BAE">
              <w:t>.</w:t>
            </w:r>
          </w:p>
          <w:p w14:paraId="4858FABE" w14:textId="77777777" w:rsidR="003F6511" w:rsidRPr="006E7BAE" w:rsidRDefault="003F6511" w:rsidP="00011960">
            <w:pPr>
              <w:jc w:val="both"/>
            </w:pPr>
          </w:p>
        </w:tc>
        <w:tc>
          <w:tcPr>
            <w:tcW w:w="392" w:type="pct"/>
          </w:tcPr>
          <w:p w14:paraId="1898226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81" w:type="pct"/>
          </w:tcPr>
          <w:p w14:paraId="1F6C283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350010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F434539" w14:textId="4E3988A2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60B02">
              <w:rPr>
                <w:lang w:val="fr-CA"/>
              </w:rPr>
              <w:t>Cour d</w:t>
            </w:r>
            <w:r w:rsidR="000F6AD2">
              <w:rPr>
                <w:lang w:val="fr-CA"/>
              </w:rPr>
              <w:t>’</w:t>
            </w:r>
            <w:r w:rsidRPr="00960B02">
              <w:rPr>
                <w:lang w:val="fr-CA"/>
              </w:rPr>
              <w:t>appel de l’Alberta (Calgary)</w:t>
            </w:r>
            <w:r w:rsidRPr="006E7BAE">
              <w:rPr>
                <w:lang w:val="fr-CA"/>
              </w:rPr>
              <w:t xml:space="preserve">, numéro </w:t>
            </w:r>
            <w:r w:rsidR="000F6AD2" w:rsidRPr="00960B02">
              <w:rPr>
                <w:lang w:val="fr-CA"/>
              </w:rPr>
              <w:t>2301-0049AC</w:t>
            </w:r>
            <w:r w:rsidR="000F6AD2" w:rsidRPr="006E7BAE">
              <w:rPr>
                <w:lang w:val="fr-CA"/>
              </w:rPr>
              <w:t xml:space="preserve">, </w:t>
            </w:r>
            <w:r w:rsidR="00E160C1" w:rsidRPr="005F0620">
              <w:rPr>
                <w:rStyle w:val="Hyperlink"/>
                <w:color w:val="000000" w:themeColor="text1"/>
                <w:u w:val="none"/>
                <w:lang w:val="fr-CA"/>
              </w:rPr>
              <w:t xml:space="preserve">2024 </w:t>
            </w:r>
            <w:r w:rsidR="00E160C1" w:rsidRPr="005F0620">
              <w:rPr>
                <w:rStyle w:val="Hyperlink"/>
                <w:color w:val="000000" w:themeColor="text1"/>
                <w:u w:val="none"/>
                <w:lang w:val="fr-CA"/>
              </w:rPr>
              <w:lastRenderedPageBreak/>
              <w:t>ABCA 3</w:t>
            </w:r>
            <w:r w:rsidRPr="005F0620">
              <w:rPr>
                <w:color w:val="000000" w:themeColor="text1"/>
                <w:lang w:val="fr-CA"/>
              </w:rPr>
              <w:t>,</w:t>
            </w:r>
            <w:r w:rsidRPr="00960B02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60B02">
              <w:rPr>
                <w:lang w:val="fr-CA"/>
              </w:rPr>
              <w:t>3 janvier 2024</w:t>
            </w:r>
            <w:r w:rsidRPr="006E7BAE">
              <w:rPr>
                <w:lang w:val="fr-CA"/>
              </w:rPr>
              <w:t xml:space="preserve">, est </w:t>
            </w:r>
            <w:r w:rsidR="005E0D19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34FC1D7" w14:textId="77777777" w:rsidR="009F436C" w:rsidRPr="00D83B8C" w:rsidRDefault="009F436C" w:rsidP="00382FEC">
      <w:pPr>
        <w:rPr>
          <w:lang w:val="fr-CA"/>
        </w:rPr>
      </w:pPr>
    </w:p>
    <w:p w14:paraId="15CC2C7A" w14:textId="77777777" w:rsidR="009F436C" w:rsidRPr="00D83B8C" w:rsidRDefault="009F436C" w:rsidP="00417FB7">
      <w:pPr>
        <w:jc w:val="center"/>
        <w:rPr>
          <w:lang w:val="fr-CA"/>
        </w:rPr>
      </w:pPr>
    </w:p>
    <w:p w14:paraId="54D2EFDA" w14:textId="77777777" w:rsidR="009F436C" w:rsidRPr="00D83B8C" w:rsidRDefault="009F436C" w:rsidP="00417FB7">
      <w:pPr>
        <w:jc w:val="center"/>
        <w:rPr>
          <w:lang w:val="fr-CA"/>
        </w:rPr>
      </w:pPr>
    </w:p>
    <w:p w14:paraId="3B486C7E" w14:textId="77777777" w:rsidR="009F436C" w:rsidRDefault="009F436C" w:rsidP="00417FB7">
      <w:pPr>
        <w:jc w:val="center"/>
        <w:rPr>
          <w:lang w:val="fr-CA"/>
        </w:rPr>
      </w:pPr>
    </w:p>
    <w:p w14:paraId="23753B12" w14:textId="77777777" w:rsidR="005F0620" w:rsidRPr="00D83B8C" w:rsidRDefault="005F0620" w:rsidP="00417FB7">
      <w:pPr>
        <w:jc w:val="center"/>
        <w:rPr>
          <w:lang w:val="fr-CA"/>
        </w:rPr>
      </w:pPr>
    </w:p>
    <w:p w14:paraId="6476DFA2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F6E3D17" w14:textId="77777777" w:rsidR="003A37CF" w:rsidRPr="00D83B8C" w:rsidRDefault="003A37CF" w:rsidP="000F6AD2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CA735" w14:textId="77777777" w:rsidR="00983D48" w:rsidRDefault="00983D48">
      <w:r>
        <w:separator/>
      </w:r>
    </w:p>
  </w:endnote>
  <w:endnote w:type="continuationSeparator" w:id="0">
    <w:p w14:paraId="5E378B2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9BB8D" w14:textId="77777777" w:rsidR="00983D48" w:rsidRDefault="00983D48">
      <w:r>
        <w:separator/>
      </w:r>
    </w:p>
  </w:footnote>
  <w:footnote w:type="continuationSeparator" w:id="0">
    <w:p w14:paraId="585CBD0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578C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CF16BA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4276ACC" w14:textId="77777777" w:rsidR="008F53F3" w:rsidRDefault="008F53F3" w:rsidP="008F53F3">
    <w:pPr>
      <w:rPr>
        <w:szCs w:val="24"/>
      </w:rPr>
    </w:pPr>
  </w:p>
  <w:p w14:paraId="6738F24B" w14:textId="77777777" w:rsidR="008F53F3" w:rsidRDefault="008F53F3" w:rsidP="008F53F3">
    <w:pPr>
      <w:rPr>
        <w:szCs w:val="24"/>
      </w:rPr>
    </w:pPr>
  </w:p>
  <w:p w14:paraId="0EB40D7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41143</w:t>
    </w:r>
    <w:r>
      <w:rPr>
        <w:szCs w:val="24"/>
      </w:rPr>
      <w:t>     </w:t>
    </w:r>
  </w:p>
  <w:p w14:paraId="2C74C554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DDC227C" w14:textId="77777777" w:rsidR="0073151A" w:rsidRDefault="0073151A" w:rsidP="0073151A"/>
      <w:p w14:paraId="1123DB8C" w14:textId="77777777" w:rsidR="0073151A" w:rsidRPr="006E7BAE" w:rsidRDefault="0073151A" w:rsidP="0073151A"/>
      <w:p w14:paraId="27AA3DF0" w14:textId="77777777" w:rsidR="0073151A" w:rsidRPr="006E7BAE" w:rsidRDefault="0073151A" w:rsidP="0073151A"/>
      <w:p w14:paraId="4916DCE1" w14:textId="77777777" w:rsidR="0073151A" w:rsidRPr="006E7BAE" w:rsidRDefault="0073151A" w:rsidP="0073151A"/>
      <w:p w14:paraId="0D248287" w14:textId="77777777" w:rsidR="0073151A" w:rsidRDefault="0073151A" w:rsidP="0073151A"/>
      <w:p w14:paraId="4CB01FE7" w14:textId="77777777" w:rsidR="0073151A" w:rsidRDefault="0073151A" w:rsidP="0073151A"/>
      <w:p w14:paraId="1BC4B6DD" w14:textId="77777777" w:rsidR="0073151A" w:rsidRDefault="0073151A" w:rsidP="0073151A"/>
      <w:p w14:paraId="64A7FCDF" w14:textId="77777777" w:rsidR="0073151A" w:rsidRDefault="0073151A" w:rsidP="0073151A"/>
      <w:p w14:paraId="1B9CE6E2" w14:textId="77777777" w:rsidR="0073151A" w:rsidRDefault="0073151A" w:rsidP="0073151A"/>
      <w:p w14:paraId="6D5226D8" w14:textId="77777777" w:rsidR="0073151A" w:rsidRPr="006E7BAE" w:rsidRDefault="0073151A" w:rsidP="0073151A"/>
      <w:p w14:paraId="03A915E6" w14:textId="77777777" w:rsidR="00ED265D" w:rsidRPr="0073151A" w:rsidRDefault="00CF16B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0F6AD2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CA1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E0D19"/>
    <w:rsid w:val="005F0620"/>
    <w:rsid w:val="00612913"/>
    <w:rsid w:val="00614908"/>
    <w:rsid w:val="00627CFD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C2A2E"/>
    <w:rsid w:val="008F376B"/>
    <w:rsid w:val="008F53F3"/>
    <w:rsid w:val="009305BF"/>
    <w:rsid w:val="00951EF6"/>
    <w:rsid w:val="00960B02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33780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6BA"/>
    <w:rsid w:val="00CF17D0"/>
    <w:rsid w:val="00D42339"/>
    <w:rsid w:val="00D61AC2"/>
    <w:rsid w:val="00D83B8C"/>
    <w:rsid w:val="00DA4281"/>
    <w:rsid w:val="00DB1ADC"/>
    <w:rsid w:val="00DC38EC"/>
    <w:rsid w:val="00DD4332"/>
    <w:rsid w:val="00E12A51"/>
    <w:rsid w:val="00E160C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C793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15597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CD327E9F-FC52-4B9E-8880-D0EB7E4EC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9EBF7-5E7D-4B83-BE23-E5F8B8AFD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1D2C6-6F8B-4AD5-930C-E9B6EE11ECE7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2024-08-02T18:18:00Z</dcterms:created>
  <dcterms:modified xsi:type="dcterms:W3CDTF">2024-08-02T18:18:00Z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