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613EA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41083</w:t>
      </w:r>
      <w:r w:rsidR="00E81C0B" w:rsidRPr="001E26DB">
        <w:t>     </w:t>
      </w:r>
    </w:p>
    <w:p w14:paraId="78C6E4CD" w14:textId="77777777" w:rsidR="009F436C" w:rsidRPr="001E26DB" w:rsidRDefault="009F436C" w:rsidP="00382FEC"/>
    <w:p w14:paraId="014482C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C19D2A4" w14:textId="77777777" w:rsidTr="00B37A52">
        <w:tc>
          <w:tcPr>
            <w:tcW w:w="2269" w:type="pct"/>
          </w:tcPr>
          <w:p w14:paraId="3C5A2BAA" w14:textId="77777777" w:rsidR="00417FB7" w:rsidRPr="001E26DB" w:rsidRDefault="0062554E" w:rsidP="008262A3">
            <w:r>
              <w:t xml:space="preserve">Le </w:t>
            </w:r>
            <w:r w:rsidR="00F26FF4">
              <w:t>24 octobre</w:t>
            </w:r>
            <w:r>
              <w:t xml:space="preserve"> 2024</w:t>
            </w:r>
          </w:p>
        </w:tc>
        <w:tc>
          <w:tcPr>
            <w:tcW w:w="381" w:type="pct"/>
          </w:tcPr>
          <w:p w14:paraId="6A4A0002" w14:textId="77777777" w:rsidR="00417FB7" w:rsidRPr="001E26DB" w:rsidRDefault="00417FB7" w:rsidP="00382FEC"/>
        </w:tc>
        <w:tc>
          <w:tcPr>
            <w:tcW w:w="2350" w:type="pct"/>
          </w:tcPr>
          <w:p w14:paraId="33EF3D92" w14:textId="77777777" w:rsidR="00417FB7" w:rsidRPr="001E26DB" w:rsidRDefault="00CC07B6" w:rsidP="0027081E">
            <w:pPr>
              <w:rPr>
                <w:lang w:val="en-CA"/>
              </w:rPr>
            </w:pPr>
            <w:r>
              <w:t>October 24</w:t>
            </w:r>
            <w:r w:rsidR="0062554E">
              <w:t>, 2024</w:t>
            </w:r>
          </w:p>
        </w:tc>
      </w:tr>
      <w:tr w:rsidR="00C2612E" w:rsidRPr="0062554E" w14:paraId="6C456185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5B2DE29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A0172AF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499685B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7E5FF2" w14:paraId="35C6E95C" w14:textId="77777777" w:rsidTr="006A1E6D">
        <w:tc>
          <w:tcPr>
            <w:tcW w:w="2269" w:type="pct"/>
          </w:tcPr>
          <w:p w14:paraId="6EC175B1" w14:textId="77777777" w:rsidR="00C21512" w:rsidRDefault="00E84C2D">
            <w:pPr>
              <w:pStyle w:val="SCCLsocPrefix"/>
            </w:pPr>
            <w:r>
              <w:t>ENTRE :</w:t>
            </w:r>
          </w:p>
          <w:p w14:paraId="0ECCF18D" w14:textId="77777777" w:rsidR="00E84C2D" w:rsidRPr="00E84C2D" w:rsidRDefault="00E84C2D" w:rsidP="00E84C2D"/>
          <w:p w14:paraId="675B7793" w14:textId="77777777" w:rsidR="00C21512" w:rsidRDefault="00E84C2D">
            <w:pPr>
              <w:pStyle w:val="SCCLsocParty"/>
            </w:pPr>
            <w:r>
              <w:t>Alain Chenel</w:t>
            </w:r>
            <w:r>
              <w:br/>
            </w:r>
          </w:p>
          <w:p w14:paraId="3B073BF0" w14:textId="77777777" w:rsidR="00C21512" w:rsidRDefault="00E84C2D">
            <w:pPr>
              <w:pStyle w:val="SCCLsocPartyRole"/>
            </w:pPr>
            <w:r>
              <w:t>Demandeur</w:t>
            </w:r>
            <w:r>
              <w:br/>
            </w:r>
          </w:p>
          <w:p w14:paraId="1F93317E" w14:textId="77777777" w:rsidR="00C21512" w:rsidRDefault="00E84C2D">
            <w:pPr>
              <w:pStyle w:val="SCCLsocVersus"/>
            </w:pPr>
            <w:r>
              <w:t>- et -</w:t>
            </w:r>
          </w:p>
          <w:p w14:paraId="6CDE774D" w14:textId="77777777" w:rsidR="00C21512" w:rsidRDefault="00C21512"/>
          <w:p w14:paraId="2D93BE95" w14:textId="77777777" w:rsidR="00C21512" w:rsidRDefault="00E84C2D">
            <w:pPr>
              <w:pStyle w:val="SCCLsocParty"/>
            </w:pPr>
            <w:r>
              <w:t>Sa Majesté le Roi</w:t>
            </w:r>
            <w:r>
              <w:br/>
            </w:r>
          </w:p>
          <w:p w14:paraId="18032C7A" w14:textId="77777777" w:rsidR="00C21512" w:rsidRDefault="00E84C2D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4CCE0FB3" w14:textId="77777777" w:rsidR="00824412" w:rsidRPr="004E1B14" w:rsidRDefault="00824412" w:rsidP="00375294"/>
        </w:tc>
        <w:tc>
          <w:tcPr>
            <w:tcW w:w="2350" w:type="pct"/>
          </w:tcPr>
          <w:p w14:paraId="7A6FAB2A" w14:textId="77777777" w:rsidR="00C21512" w:rsidRDefault="00E84C2D">
            <w:pPr>
              <w:pStyle w:val="SCCLsocPrefix"/>
              <w:rPr>
                <w:lang w:val="en-US"/>
              </w:rPr>
            </w:pPr>
            <w:r w:rsidRPr="00E84C2D">
              <w:rPr>
                <w:lang w:val="en-US"/>
              </w:rPr>
              <w:t>BETWEEN:</w:t>
            </w:r>
          </w:p>
          <w:p w14:paraId="29066345" w14:textId="77777777" w:rsidR="00E84C2D" w:rsidRPr="00E84C2D" w:rsidRDefault="00E84C2D" w:rsidP="00E84C2D">
            <w:pPr>
              <w:rPr>
                <w:lang w:val="en-US"/>
              </w:rPr>
            </w:pPr>
          </w:p>
          <w:p w14:paraId="751B0F07" w14:textId="77777777" w:rsidR="00C21512" w:rsidRPr="00E84C2D" w:rsidRDefault="00E84C2D">
            <w:pPr>
              <w:pStyle w:val="SCCLsocParty"/>
              <w:rPr>
                <w:lang w:val="en-US"/>
              </w:rPr>
            </w:pPr>
            <w:r w:rsidRPr="00E84C2D">
              <w:rPr>
                <w:lang w:val="en-US"/>
              </w:rPr>
              <w:t>Alain Chenel</w:t>
            </w:r>
            <w:r w:rsidRPr="00E84C2D">
              <w:rPr>
                <w:lang w:val="en-US"/>
              </w:rPr>
              <w:br/>
            </w:r>
          </w:p>
          <w:p w14:paraId="2A1C6BE4" w14:textId="77777777" w:rsidR="00C21512" w:rsidRPr="00E84C2D" w:rsidRDefault="00E84C2D">
            <w:pPr>
              <w:pStyle w:val="SCCLsocPartyRole"/>
              <w:rPr>
                <w:lang w:val="en-US"/>
              </w:rPr>
            </w:pPr>
            <w:r w:rsidRPr="00E84C2D">
              <w:rPr>
                <w:lang w:val="en-US"/>
              </w:rPr>
              <w:t>Applicant</w:t>
            </w:r>
            <w:r w:rsidRPr="00E84C2D">
              <w:rPr>
                <w:lang w:val="en-US"/>
              </w:rPr>
              <w:br/>
            </w:r>
          </w:p>
          <w:p w14:paraId="1F63D67B" w14:textId="77777777" w:rsidR="00C21512" w:rsidRPr="00E84C2D" w:rsidRDefault="00E84C2D">
            <w:pPr>
              <w:pStyle w:val="SCCLsocVersus"/>
              <w:rPr>
                <w:lang w:val="en-US"/>
              </w:rPr>
            </w:pPr>
            <w:r w:rsidRPr="00E84C2D">
              <w:rPr>
                <w:lang w:val="en-US"/>
              </w:rPr>
              <w:t>- and -</w:t>
            </w:r>
          </w:p>
          <w:p w14:paraId="5427FF8E" w14:textId="77777777" w:rsidR="00C21512" w:rsidRPr="00E84C2D" w:rsidRDefault="00C21512">
            <w:pPr>
              <w:rPr>
                <w:lang w:val="en-US"/>
              </w:rPr>
            </w:pPr>
          </w:p>
          <w:p w14:paraId="1D83C062" w14:textId="77777777" w:rsidR="00C21512" w:rsidRPr="00E84C2D" w:rsidRDefault="00E84C2D">
            <w:pPr>
              <w:pStyle w:val="SCCLsocParty"/>
              <w:rPr>
                <w:lang w:val="en-US"/>
              </w:rPr>
            </w:pPr>
            <w:r w:rsidRPr="00E84C2D">
              <w:rPr>
                <w:lang w:val="en-US"/>
              </w:rPr>
              <w:t>His Majesty the King</w:t>
            </w:r>
            <w:r w:rsidRPr="00E84C2D">
              <w:rPr>
                <w:lang w:val="en-US"/>
              </w:rPr>
              <w:br/>
            </w:r>
          </w:p>
          <w:p w14:paraId="62782240" w14:textId="77777777" w:rsidR="00C21512" w:rsidRPr="00E84C2D" w:rsidRDefault="00E84C2D">
            <w:pPr>
              <w:pStyle w:val="SCCLsocPartyRole"/>
              <w:rPr>
                <w:lang w:val="en-US"/>
              </w:rPr>
            </w:pPr>
            <w:r w:rsidRPr="00E84C2D">
              <w:rPr>
                <w:lang w:val="en-US"/>
              </w:rPr>
              <w:t>Respondent</w:t>
            </w:r>
          </w:p>
        </w:tc>
      </w:tr>
      <w:tr w:rsidR="00824412" w:rsidRPr="007E5FF2" w14:paraId="0F8A3E8D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2AF34EC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2218C2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1CBCF7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7E5FF2" w14:paraId="50568396" w14:textId="77777777" w:rsidTr="00B37A52">
        <w:tc>
          <w:tcPr>
            <w:tcW w:w="2269" w:type="pct"/>
          </w:tcPr>
          <w:p w14:paraId="458E7380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4F1CBE5" w14:textId="77777777" w:rsidR="0027081E" w:rsidRPr="001E26DB" w:rsidRDefault="0027081E" w:rsidP="0027081E">
            <w:pPr>
              <w:jc w:val="center"/>
            </w:pPr>
          </w:p>
          <w:p w14:paraId="4B27D43A" w14:textId="1E1A7359" w:rsidR="00824412" w:rsidRDefault="004E1B14" w:rsidP="0027081E">
            <w:pPr>
              <w:jc w:val="both"/>
            </w:pPr>
            <w:r>
              <w:t>La requête en prorogation du délai de signification et de dépôt de l</w:t>
            </w:r>
            <w:r w:rsidRPr="006E7BAE">
              <w:t xml:space="preserve">a </w:t>
            </w:r>
            <w:r w:rsidR="0027081E" w:rsidRPr="001E26DB">
              <w:t xml:space="preserve">demande d’autorisation d’appel </w:t>
            </w:r>
            <w:r w:rsidR="003E6C28">
              <w:t>est rejetée. Quoi</w:t>
            </w:r>
            <w:r w:rsidR="00941E7E">
              <w:t xml:space="preserve"> </w:t>
            </w:r>
            <w:r w:rsidR="003E6C28">
              <w:t xml:space="preserve">qu’il en soit, même si la requête avait été accueillie, la demande d’autorisation d’appel </w:t>
            </w:r>
            <w:r w:rsidR="0027081E" w:rsidRPr="001E26DB">
              <w:t xml:space="preserve">de l’arrêt de la </w:t>
            </w:r>
            <w:r w:rsidR="0027081E">
              <w:t>Cour d’appel du Québec (Québec)</w:t>
            </w:r>
            <w:r w:rsidR="0027081E" w:rsidRPr="001E26DB">
              <w:t xml:space="preserve">, numéro </w:t>
            </w:r>
            <w:r w:rsidR="0027081E">
              <w:t>200-10-003852-</w:t>
            </w:r>
            <w:r w:rsidR="00F67BA8">
              <w:t>212</w:t>
            </w:r>
            <w:r w:rsidR="0027081E" w:rsidRPr="001E26DB">
              <w:t xml:space="preserve">, </w:t>
            </w:r>
            <w:r w:rsidR="00F67BA8">
              <w:t xml:space="preserve">2023 QCCA 1306, </w:t>
            </w:r>
            <w:r w:rsidR="0027081E" w:rsidRPr="001E26DB">
              <w:t xml:space="preserve">daté du </w:t>
            </w:r>
            <w:r w:rsidR="0027081E">
              <w:t>19 octobre 2023</w:t>
            </w:r>
            <w:r w:rsidR="0027081E" w:rsidRPr="001E26DB">
              <w:t xml:space="preserve">, </w:t>
            </w:r>
            <w:r w:rsidR="003E6C28">
              <w:t>aurait été</w:t>
            </w:r>
            <w:r w:rsidR="0027081E" w:rsidRPr="001E26DB">
              <w:t xml:space="preserve"> </w:t>
            </w:r>
            <w:r>
              <w:t>rejetée</w:t>
            </w:r>
            <w:r w:rsidR="0027081E" w:rsidRPr="001E26DB">
              <w:t>.</w:t>
            </w:r>
          </w:p>
          <w:p w14:paraId="063B50CF" w14:textId="77777777" w:rsidR="00622562" w:rsidRDefault="00622562" w:rsidP="00D27D4E">
            <w:pPr>
              <w:jc w:val="both"/>
            </w:pPr>
          </w:p>
          <w:p w14:paraId="2C97DBEF" w14:textId="77777777" w:rsidR="00B33644" w:rsidRDefault="00B33644" w:rsidP="00D27D4E">
            <w:pPr>
              <w:jc w:val="both"/>
            </w:pPr>
          </w:p>
          <w:p w14:paraId="52058C36" w14:textId="77777777" w:rsidR="00B33644" w:rsidRPr="001E26DB" w:rsidRDefault="00B33644" w:rsidP="00D27D4E">
            <w:pPr>
              <w:jc w:val="both"/>
            </w:pPr>
          </w:p>
        </w:tc>
        <w:tc>
          <w:tcPr>
            <w:tcW w:w="381" w:type="pct"/>
          </w:tcPr>
          <w:p w14:paraId="39E0D6F9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A3E2C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73EC6D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E5F70A4" w14:textId="77C7EA5B" w:rsidR="00824412" w:rsidRDefault="004E1B14" w:rsidP="006C1359">
            <w:pPr>
              <w:jc w:val="both"/>
              <w:rPr>
                <w:lang w:val="en-CA"/>
              </w:rPr>
            </w:pPr>
            <w:r w:rsidRPr="004E1B14">
              <w:rPr>
                <w:lang w:val="en-US"/>
              </w:rPr>
              <w:t xml:space="preserve">The motion for an extension of time to serve and file the </w:t>
            </w:r>
            <w:r w:rsidR="0027081E" w:rsidRPr="001E26DB">
              <w:rPr>
                <w:lang w:val="en-CA"/>
              </w:rPr>
              <w:t xml:space="preserve">application for leave to appeal </w:t>
            </w:r>
            <w:r w:rsidR="00CC07B6">
              <w:rPr>
                <w:lang w:val="en-CA"/>
              </w:rPr>
              <w:t xml:space="preserve">is dismissed. In any event, had such motion been granted, the application for leave to appeal </w:t>
            </w:r>
            <w:r w:rsidR="0027081E" w:rsidRPr="001E26DB">
              <w:rPr>
                <w:lang w:val="en-CA"/>
              </w:rPr>
              <w:t>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E84C2D">
              <w:rPr>
                <w:lang w:val="en-US"/>
              </w:rPr>
              <w:t>Court of Appeal of Quebec (Québec)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E84C2D">
              <w:rPr>
                <w:lang w:val="en-US"/>
              </w:rPr>
              <w:t>200-10-003852-</w:t>
            </w:r>
            <w:r w:rsidR="00F67BA8" w:rsidRPr="00E84C2D">
              <w:rPr>
                <w:lang w:val="en-US"/>
              </w:rPr>
              <w:t>2</w:t>
            </w:r>
            <w:r w:rsidR="00F67BA8">
              <w:rPr>
                <w:lang w:val="en-US"/>
              </w:rPr>
              <w:t>12</w:t>
            </w:r>
            <w:r w:rsidR="0027081E" w:rsidRPr="001E26DB">
              <w:rPr>
                <w:lang w:val="en-CA"/>
              </w:rPr>
              <w:t>,</w:t>
            </w:r>
            <w:r w:rsidR="00F67BA8">
              <w:rPr>
                <w:lang w:val="en-CA"/>
              </w:rPr>
              <w:t xml:space="preserve"> 2023 QCCA 1306,</w:t>
            </w:r>
            <w:r w:rsidR="0027081E" w:rsidRPr="001E26DB">
              <w:rPr>
                <w:lang w:val="en-CA"/>
              </w:rPr>
              <w:t xml:space="preserve"> dated </w:t>
            </w:r>
            <w:r w:rsidR="0027081E" w:rsidRPr="00E84C2D">
              <w:rPr>
                <w:lang w:val="en-US"/>
              </w:rPr>
              <w:t>October 19, 2023</w:t>
            </w:r>
            <w:r w:rsidR="00B33644"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</w:t>
            </w:r>
            <w:r w:rsidR="00CC07B6">
              <w:rPr>
                <w:lang w:val="en-CA"/>
              </w:rPr>
              <w:t>would have been</w:t>
            </w:r>
            <w:r w:rsidR="0027081E" w:rsidRPr="001E26DB">
              <w:rPr>
                <w:lang w:val="en-CA"/>
              </w:rPr>
              <w:t xml:space="preserve"> </w:t>
            </w:r>
            <w:r>
              <w:rPr>
                <w:lang w:val="en-CA"/>
              </w:rPr>
              <w:t>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E710194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4F64754F" w14:textId="77777777" w:rsidR="009F436C" w:rsidRPr="00471DB0" w:rsidRDefault="009F436C" w:rsidP="00417FB7">
      <w:pPr>
        <w:jc w:val="center"/>
        <w:rPr>
          <w:lang w:val="en-US"/>
        </w:rPr>
      </w:pPr>
    </w:p>
    <w:p w14:paraId="14A1D6E3" w14:textId="77777777" w:rsidR="00337E84" w:rsidRPr="00471DB0" w:rsidRDefault="00337E84" w:rsidP="007E5FF2">
      <w:pPr>
        <w:rPr>
          <w:lang w:val="en-US"/>
        </w:rPr>
      </w:pPr>
    </w:p>
    <w:p w14:paraId="66B1415E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39258F9C" w14:textId="77777777" w:rsidR="009F436C" w:rsidRPr="002C29B6" w:rsidRDefault="00655333" w:rsidP="00E84C2D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9ACF" w14:textId="77777777" w:rsidR="00D27D4E" w:rsidRDefault="00D27D4E">
      <w:r>
        <w:separator/>
      </w:r>
    </w:p>
  </w:endnote>
  <w:endnote w:type="continuationSeparator" w:id="0">
    <w:p w14:paraId="7666EABC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519F9" w14:textId="77777777" w:rsidR="00D27D4E" w:rsidRDefault="00D27D4E">
      <w:r>
        <w:separator/>
      </w:r>
    </w:p>
  </w:footnote>
  <w:footnote w:type="continuationSeparator" w:id="0">
    <w:p w14:paraId="4D522B4A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82B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7E5FF2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E049BA3" w14:textId="77777777" w:rsidR="00401B64" w:rsidRDefault="00401B64" w:rsidP="00401B64">
    <w:pPr>
      <w:rPr>
        <w:szCs w:val="24"/>
      </w:rPr>
    </w:pPr>
  </w:p>
  <w:p w14:paraId="21D3A62A" w14:textId="77777777" w:rsidR="00401B64" w:rsidRDefault="00401B64" w:rsidP="00401B64">
    <w:pPr>
      <w:rPr>
        <w:szCs w:val="24"/>
      </w:rPr>
    </w:pPr>
  </w:p>
  <w:p w14:paraId="4F9A6CF4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41083</w:t>
    </w:r>
    <w:r w:rsidR="00401B64">
      <w:rPr>
        <w:szCs w:val="24"/>
      </w:rPr>
      <w:t>     </w:t>
    </w:r>
  </w:p>
  <w:p w14:paraId="7252A25B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946528A" w14:textId="77777777" w:rsidR="000452C9" w:rsidRDefault="000452C9" w:rsidP="000452C9"/>
      <w:p w14:paraId="69D938B8" w14:textId="77777777" w:rsidR="000452C9" w:rsidRPr="001E26DB" w:rsidRDefault="000452C9" w:rsidP="000452C9"/>
      <w:p w14:paraId="4D61DAB6" w14:textId="77777777" w:rsidR="000452C9" w:rsidRPr="001E26DB" w:rsidRDefault="000452C9" w:rsidP="000452C9"/>
      <w:p w14:paraId="3E10593A" w14:textId="77777777" w:rsidR="000452C9" w:rsidRDefault="000452C9" w:rsidP="000452C9"/>
      <w:p w14:paraId="143BC922" w14:textId="77777777" w:rsidR="000452C9" w:rsidRDefault="000452C9" w:rsidP="000452C9"/>
      <w:p w14:paraId="549FE6A1" w14:textId="77777777" w:rsidR="000452C9" w:rsidRDefault="000452C9" w:rsidP="000452C9"/>
      <w:p w14:paraId="155FA10E" w14:textId="77777777" w:rsidR="000452C9" w:rsidRDefault="000452C9" w:rsidP="000452C9"/>
      <w:p w14:paraId="10B26583" w14:textId="77777777" w:rsidR="000452C9" w:rsidRPr="001E26DB" w:rsidRDefault="000452C9" w:rsidP="000452C9"/>
      <w:p w14:paraId="26ED1ABF" w14:textId="77777777" w:rsidR="000452C9" w:rsidRPr="001E26DB" w:rsidRDefault="000452C9" w:rsidP="000452C9"/>
      <w:p w14:paraId="7127E827" w14:textId="77777777" w:rsidR="000452C9" w:rsidRDefault="000452C9" w:rsidP="000452C9">
        <w:pPr>
          <w:pStyle w:val="Header"/>
        </w:pPr>
      </w:p>
      <w:p w14:paraId="2302070C" w14:textId="77777777" w:rsidR="001D6D96" w:rsidRPr="000452C9" w:rsidRDefault="00F44E8D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2D652B"/>
    <w:rsid w:val="0031097F"/>
    <w:rsid w:val="0031165C"/>
    <w:rsid w:val="00311ACE"/>
    <w:rsid w:val="003174AD"/>
    <w:rsid w:val="00337E84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3E6C28"/>
    <w:rsid w:val="00401B64"/>
    <w:rsid w:val="00414694"/>
    <w:rsid w:val="0041775C"/>
    <w:rsid w:val="00417FB7"/>
    <w:rsid w:val="00430004"/>
    <w:rsid w:val="00451668"/>
    <w:rsid w:val="00471DB0"/>
    <w:rsid w:val="00474535"/>
    <w:rsid w:val="004943CF"/>
    <w:rsid w:val="004956DA"/>
    <w:rsid w:val="004E1B14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E5FF2"/>
    <w:rsid w:val="007F41D5"/>
    <w:rsid w:val="00816B78"/>
    <w:rsid w:val="00823BF1"/>
    <w:rsid w:val="00824412"/>
    <w:rsid w:val="0082535A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41E7E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3644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58AD"/>
    <w:rsid w:val="00BF682C"/>
    <w:rsid w:val="00BF7644"/>
    <w:rsid w:val="00C03E8E"/>
    <w:rsid w:val="00C21512"/>
    <w:rsid w:val="00C2612E"/>
    <w:rsid w:val="00C609B7"/>
    <w:rsid w:val="00CC07B6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84C2D"/>
    <w:rsid w:val="00EA4B61"/>
    <w:rsid w:val="00EF4EF2"/>
    <w:rsid w:val="00F06BF6"/>
    <w:rsid w:val="00F1759D"/>
    <w:rsid w:val="00F26FF4"/>
    <w:rsid w:val="00F4094A"/>
    <w:rsid w:val="00F40FBF"/>
    <w:rsid w:val="00F44E8D"/>
    <w:rsid w:val="00F47372"/>
    <w:rsid w:val="00F5034C"/>
    <w:rsid w:val="00F67BA8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F32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2D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15536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A37E43C-370F-4512-8DCA-4B1F4DF8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759D1-4344-4538-8491-E5FAE4B97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6458-FBCF-45AD-87BD-EDE0B8A24C9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0ae4924-d04e-473c-aafa-3657aad971d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2024-10-21T13:47:00Z</dcterms:created>
  <dcterms:modified xsi:type="dcterms:W3CDTF">2024-10-21T13:47:00Z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