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78E8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41308</w:t>
      </w:r>
      <w:r w:rsidR="0016666F" w:rsidRPr="006E7BAE">
        <w:t>     </w:t>
      </w:r>
    </w:p>
    <w:bookmarkEnd w:id="0"/>
    <w:p w14:paraId="6A56349F" w14:textId="77777777" w:rsidR="009F436C" w:rsidRPr="006E7BAE" w:rsidRDefault="009F436C" w:rsidP="00382FEC"/>
    <w:p w14:paraId="082D978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EFF9994" w14:textId="77777777" w:rsidTr="00C173B0">
        <w:tc>
          <w:tcPr>
            <w:tcW w:w="2269" w:type="pct"/>
          </w:tcPr>
          <w:p w14:paraId="581AA866" w14:textId="77777777" w:rsidR="00417FB7" w:rsidRPr="006E7BAE" w:rsidRDefault="0085284C" w:rsidP="008262A3">
            <w:r>
              <w:t xml:space="preserve">November </w:t>
            </w:r>
            <w:r w:rsidR="00543EDD">
              <w:t>7, 2024</w:t>
            </w:r>
          </w:p>
        </w:tc>
        <w:tc>
          <w:tcPr>
            <w:tcW w:w="381" w:type="pct"/>
          </w:tcPr>
          <w:p w14:paraId="11BB3E27" w14:textId="77777777" w:rsidR="00417FB7" w:rsidRPr="006E7BAE" w:rsidRDefault="00417FB7" w:rsidP="00382FEC"/>
        </w:tc>
        <w:tc>
          <w:tcPr>
            <w:tcW w:w="2350" w:type="pct"/>
          </w:tcPr>
          <w:p w14:paraId="574C23A0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7 </w:t>
            </w:r>
            <w:r w:rsidR="0085284C">
              <w:t>novem</w:t>
            </w:r>
            <w:r>
              <w:t>bre 2024</w:t>
            </w:r>
          </w:p>
        </w:tc>
      </w:tr>
      <w:tr w:rsidR="00E12A51" w:rsidRPr="006E7BAE" w14:paraId="4EC2304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EB37E2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6FCAC7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67201F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81FED" w14:paraId="18DE26C4" w14:textId="77777777" w:rsidTr="00C173B0">
        <w:tc>
          <w:tcPr>
            <w:tcW w:w="2269" w:type="pct"/>
          </w:tcPr>
          <w:p w14:paraId="0AC3F66F" w14:textId="77777777" w:rsidR="00BA393D" w:rsidRDefault="00BA393D"/>
          <w:p w14:paraId="1AD1A87D" w14:textId="77777777" w:rsidR="00BA393D" w:rsidRDefault="009E401D">
            <w:pPr>
              <w:pStyle w:val="SCCLsocPrefix"/>
            </w:pPr>
            <w:r>
              <w:t>BETWEEN:</w:t>
            </w:r>
          </w:p>
          <w:p w14:paraId="6812A587" w14:textId="77777777" w:rsidR="009A0DE9" w:rsidRPr="009A0DE9" w:rsidRDefault="009A0DE9" w:rsidP="00D81FED"/>
          <w:p w14:paraId="783984AB" w14:textId="77777777" w:rsidR="00BA393D" w:rsidRDefault="009E401D">
            <w:pPr>
              <w:pStyle w:val="SCCLsocParty"/>
            </w:pPr>
            <w:r>
              <w:t>Tareq Hanaysha</w:t>
            </w:r>
            <w:r>
              <w:br/>
            </w:r>
          </w:p>
          <w:p w14:paraId="51A39C57" w14:textId="77777777" w:rsidR="00BA393D" w:rsidRDefault="009E401D">
            <w:pPr>
              <w:pStyle w:val="SCCLsocPartyRole"/>
            </w:pPr>
            <w:r>
              <w:t>Applicant</w:t>
            </w:r>
            <w:r>
              <w:br/>
            </w:r>
          </w:p>
          <w:p w14:paraId="0CB19824" w14:textId="77777777" w:rsidR="00BA393D" w:rsidRDefault="009E401D">
            <w:pPr>
              <w:pStyle w:val="SCCLsocVersus"/>
            </w:pPr>
            <w:r>
              <w:t>- and -</w:t>
            </w:r>
          </w:p>
          <w:p w14:paraId="14264B16" w14:textId="77777777" w:rsidR="00BA393D" w:rsidRDefault="00BA393D"/>
          <w:p w14:paraId="1C1B52B3" w14:textId="77777777" w:rsidR="00BA393D" w:rsidRDefault="009E401D">
            <w:pPr>
              <w:pStyle w:val="SCCLsocParty"/>
            </w:pPr>
            <w:r>
              <w:t>His Majesty the King</w:t>
            </w:r>
            <w:r>
              <w:br/>
            </w:r>
          </w:p>
          <w:p w14:paraId="5F407059" w14:textId="77777777" w:rsidR="00BA393D" w:rsidRDefault="009E401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622DF92" w14:textId="77777777" w:rsidR="00824412" w:rsidRPr="006E7BAE" w:rsidRDefault="00824412" w:rsidP="00375294"/>
        </w:tc>
        <w:tc>
          <w:tcPr>
            <w:tcW w:w="2350" w:type="pct"/>
          </w:tcPr>
          <w:p w14:paraId="42E7CAB1" w14:textId="77777777" w:rsidR="00BA393D" w:rsidRDefault="00BA393D"/>
          <w:p w14:paraId="5157BC4B" w14:textId="77777777" w:rsidR="00BA393D" w:rsidRPr="00D81FED" w:rsidRDefault="009E401D">
            <w:pPr>
              <w:pStyle w:val="SCCLsocPrefix"/>
              <w:rPr>
                <w:lang w:val="fr-CA"/>
              </w:rPr>
            </w:pPr>
            <w:r w:rsidRPr="00F94761">
              <w:rPr>
                <w:lang w:val="fr-CA"/>
              </w:rPr>
              <w:t>ENTRE :</w:t>
            </w:r>
          </w:p>
          <w:p w14:paraId="2E652607" w14:textId="77777777" w:rsidR="009A0DE9" w:rsidRPr="00D81FED" w:rsidRDefault="009A0DE9" w:rsidP="00D81FED">
            <w:pPr>
              <w:rPr>
                <w:lang w:val="fr-CA"/>
              </w:rPr>
            </w:pPr>
          </w:p>
          <w:p w14:paraId="2DDF7AD7" w14:textId="77777777" w:rsidR="00BA393D" w:rsidRPr="00F94761" w:rsidRDefault="009E401D">
            <w:pPr>
              <w:pStyle w:val="SCCLsocParty"/>
              <w:rPr>
                <w:lang w:val="fr-CA"/>
              </w:rPr>
            </w:pPr>
            <w:r w:rsidRPr="00F94761">
              <w:rPr>
                <w:lang w:val="fr-CA"/>
              </w:rPr>
              <w:t>Tareq Hanaysha</w:t>
            </w:r>
            <w:r w:rsidRPr="00F94761">
              <w:rPr>
                <w:lang w:val="fr-CA"/>
              </w:rPr>
              <w:br/>
            </w:r>
          </w:p>
          <w:p w14:paraId="71784BAA" w14:textId="77777777" w:rsidR="00BA393D" w:rsidRPr="00F94761" w:rsidRDefault="009E401D">
            <w:pPr>
              <w:pStyle w:val="SCCLsocPartyRole"/>
              <w:rPr>
                <w:lang w:val="fr-CA"/>
              </w:rPr>
            </w:pPr>
            <w:r w:rsidRPr="00F94761">
              <w:rPr>
                <w:lang w:val="fr-CA"/>
              </w:rPr>
              <w:t>Demandeur</w:t>
            </w:r>
            <w:r w:rsidRPr="00F94761">
              <w:rPr>
                <w:lang w:val="fr-CA"/>
              </w:rPr>
              <w:br/>
            </w:r>
          </w:p>
          <w:p w14:paraId="2EFBB67D" w14:textId="77777777" w:rsidR="00BA393D" w:rsidRPr="00F94761" w:rsidRDefault="009E401D">
            <w:pPr>
              <w:pStyle w:val="SCCLsocVersus"/>
              <w:rPr>
                <w:lang w:val="fr-CA"/>
              </w:rPr>
            </w:pPr>
            <w:r w:rsidRPr="00F94761">
              <w:rPr>
                <w:lang w:val="fr-CA"/>
              </w:rPr>
              <w:t>- et -</w:t>
            </w:r>
          </w:p>
          <w:p w14:paraId="0994AB76" w14:textId="77777777" w:rsidR="00BA393D" w:rsidRPr="00F94761" w:rsidRDefault="00BA393D">
            <w:pPr>
              <w:rPr>
                <w:lang w:val="fr-CA"/>
              </w:rPr>
            </w:pPr>
          </w:p>
          <w:p w14:paraId="27827D60" w14:textId="77777777" w:rsidR="00BA393D" w:rsidRPr="00F94761" w:rsidRDefault="009E401D">
            <w:pPr>
              <w:pStyle w:val="SCCLsocParty"/>
              <w:rPr>
                <w:lang w:val="fr-CA"/>
              </w:rPr>
            </w:pPr>
            <w:r w:rsidRPr="00F94761">
              <w:rPr>
                <w:lang w:val="fr-CA"/>
              </w:rPr>
              <w:t>Sa Majesté le Roi</w:t>
            </w:r>
            <w:r w:rsidRPr="00F94761">
              <w:rPr>
                <w:lang w:val="fr-CA"/>
              </w:rPr>
              <w:br/>
            </w:r>
          </w:p>
          <w:p w14:paraId="5410857E" w14:textId="77777777" w:rsidR="00BA393D" w:rsidRPr="00F94761" w:rsidRDefault="009E401D">
            <w:pPr>
              <w:pStyle w:val="SCCLsocPartyRole"/>
              <w:rPr>
                <w:lang w:val="fr-CA"/>
              </w:rPr>
            </w:pPr>
            <w:r w:rsidRPr="00F94761">
              <w:rPr>
                <w:lang w:val="fr-CA"/>
              </w:rPr>
              <w:t>Intimé</w:t>
            </w:r>
          </w:p>
        </w:tc>
      </w:tr>
      <w:tr w:rsidR="00824412" w:rsidRPr="00D81FED" w14:paraId="681561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D81E793" w14:textId="77777777" w:rsidR="00824412" w:rsidRPr="00F9476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9DB8FD" w14:textId="77777777" w:rsidR="00824412" w:rsidRPr="00F9476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CE796F" w14:textId="77777777" w:rsidR="00824412" w:rsidRPr="00F94761" w:rsidRDefault="00824412" w:rsidP="00B408F8">
            <w:pPr>
              <w:rPr>
                <w:lang w:val="fr-CA"/>
              </w:rPr>
            </w:pPr>
          </w:p>
        </w:tc>
      </w:tr>
      <w:tr w:rsidR="00824412" w:rsidRPr="00D81FED" w14:paraId="03C21F0D" w14:textId="77777777" w:rsidTr="00C173B0">
        <w:tc>
          <w:tcPr>
            <w:tcW w:w="2269" w:type="pct"/>
          </w:tcPr>
          <w:p w14:paraId="175024B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89CC97B" w14:textId="77777777" w:rsidR="00824412" w:rsidRPr="006E7BAE" w:rsidRDefault="00824412" w:rsidP="00417FB7">
            <w:pPr>
              <w:jc w:val="center"/>
            </w:pPr>
          </w:p>
          <w:p w14:paraId="31EA6773" w14:textId="53064C86" w:rsidR="00824412" w:rsidRDefault="0085284C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 xml:space="preserve">, Number </w:t>
            </w:r>
            <w:r w:rsidR="00824412">
              <w:t xml:space="preserve">2203-0180A, </w:t>
            </w:r>
            <w:r w:rsidR="009A0DE9" w:rsidRPr="00D81FED">
              <w:rPr>
                <w:rStyle w:val="Hyperlink"/>
                <w:color w:val="auto"/>
                <w:u w:val="none"/>
              </w:rPr>
              <w:t>2024 ABCA 79</w:t>
            </w:r>
            <w:r w:rsidR="00824412" w:rsidRPr="006E7BAE">
              <w:t xml:space="preserve">, dated </w:t>
            </w:r>
            <w:r w:rsidR="00824412">
              <w:t>March 8, 2024</w:t>
            </w:r>
            <w:r w:rsidR="009A0DE9"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088F72AF" w14:textId="77777777" w:rsidR="001C77B3" w:rsidRDefault="001C77B3" w:rsidP="00011960">
            <w:pPr>
              <w:jc w:val="both"/>
            </w:pPr>
          </w:p>
          <w:p w14:paraId="022F5721" w14:textId="77777777" w:rsidR="003F6511" w:rsidRPr="006E7BAE" w:rsidRDefault="001C77B3" w:rsidP="00011960">
            <w:pPr>
              <w:jc w:val="both"/>
            </w:pPr>
            <w:r>
              <w:t>Moreau J. took no part in the judgment.</w:t>
            </w:r>
          </w:p>
        </w:tc>
        <w:tc>
          <w:tcPr>
            <w:tcW w:w="381" w:type="pct"/>
          </w:tcPr>
          <w:p w14:paraId="6D2E3F4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23DE8F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1F7E2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F36CADA" w14:textId="061C6DAE" w:rsidR="003F6511" w:rsidRDefault="0085284C" w:rsidP="0001196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requête en prorogation du délai</w:t>
            </w:r>
            <w:r w:rsidR="009A0DE9">
              <w:rPr>
                <w:lang w:val="fr-CA"/>
              </w:rPr>
              <w:t xml:space="preserve"> de signification et de dépôt de</w:t>
            </w:r>
            <w:r>
              <w:rPr>
                <w:lang w:val="fr-CA"/>
              </w:rPr>
              <w:t xml:space="preserve">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5284C">
              <w:rPr>
                <w:lang w:val="fr-CA"/>
              </w:rPr>
              <w:t>Cour d</w:t>
            </w:r>
            <w:r w:rsidR="00F94761">
              <w:rPr>
                <w:lang w:val="fr-CA"/>
              </w:rPr>
              <w:t>’</w:t>
            </w:r>
            <w:r w:rsidR="00824412" w:rsidRPr="0085284C">
              <w:rPr>
                <w:lang w:val="fr-CA"/>
              </w:rPr>
              <w:t>appel de l’Alberta (Edmonton)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85284C">
              <w:rPr>
                <w:lang w:val="fr-CA"/>
              </w:rPr>
              <w:t xml:space="preserve">2203-0180A, </w:t>
            </w:r>
            <w:r w:rsidR="009A0DE9" w:rsidRPr="00D81FED">
              <w:rPr>
                <w:rStyle w:val="Hyperlink"/>
                <w:color w:val="auto"/>
                <w:u w:val="none"/>
                <w:lang w:val="fr-CA"/>
              </w:rPr>
              <w:t>2024 ABCA 79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5284C">
              <w:rPr>
                <w:lang w:val="fr-CA"/>
              </w:rPr>
              <w:t>8 mars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1410C146" w14:textId="77777777" w:rsidR="001C77B3" w:rsidRDefault="001C77B3" w:rsidP="00011960">
            <w:pPr>
              <w:jc w:val="both"/>
              <w:rPr>
                <w:lang w:val="fr-CA"/>
              </w:rPr>
            </w:pPr>
          </w:p>
          <w:p w14:paraId="61D3571F" w14:textId="77777777" w:rsidR="001C77B3" w:rsidRPr="006E7BAE" w:rsidRDefault="001C77B3" w:rsidP="0001196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juge Moreau n’a pas participé au jugement.</w:t>
            </w:r>
          </w:p>
        </w:tc>
      </w:tr>
    </w:tbl>
    <w:p w14:paraId="492DE095" w14:textId="77777777" w:rsidR="009F436C" w:rsidRPr="00D83B8C" w:rsidRDefault="009F436C" w:rsidP="00382FEC">
      <w:pPr>
        <w:rPr>
          <w:lang w:val="fr-CA"/>
        </w:rPr>
      </w:pPr>
    </w:p>
    <w:p w14:paraId="000D8A13" w14:textId="77777777" w:rsidR="009F436C" w:rsidRPr="00D83B8C" w:rsidRDefault="009F436C" w:rsidP="00417FB7">
      <w:pPr>
        <w:jc w:val="center"/>
        <w:rPr>
          <w:lang w:val="fr-CA"/>
        </w:rPr>
      </w:pPr>
    </w:p>
    <w:p w14:paraId="2276BB7E" w14:textId="77777777" w:rsidR="0085284C" w:rsidRDefault="0085284C" w:rsidP="00417FB7">
      <w:pPr>
        <w:jc w:val="center"/>
        <w:rPr>
          <w:lang w:val="fr-CA"/>
        </w:rPr>
      </w:pPr>
    </w:p>
    <w:p w14:paraId="40039A48" w14:textId="77777777" w:rsidR="0085284C" w:rsidRDefault="0085284C" w:rsidP="00417FB7">
      <w:pPr>
        <w:jc w:val="center"/>
        <w:rPr>
          <w:lang w:val="fr-CA"/>
        </w:rPr>
      </w:pPr>
    </w:p>
    <w:p w14:paraId="43E36771" w14:textId="77777777" w:rsidR="0085284C" w:rsidRPr="00D83B8C" w:rsidRDefault="0085284C" w:rsidP="00417FB7">
      <w:pPr>
        <w:jc w:val="center"/>
        <w:rPr>
          <w:lang w:val="fr-CA"/>
        </w:rPr>
      </w:pPr>
    </w:p>
    <w:p w14:paraId="0604349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A616255" w14:textId="77777777" w:rsidR="009F436C" w:rsidRPr="00D83B8C" w:rsidRDefault="003A37CF" w:rsidP="0085284C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D078" w14:textId="77777777" w:rsidR="00983D48" w:rsidRDefault="00983D48">
      <w:r>
        <w:separator/>
      </w:r>
    </w:p>
  </w:endnote>
  <w:endnote w:type="continuationSeparator" w:id="0">
    <w:p w14:paraId="46B785F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DFE6B" w14:textId="77777777" w:rsidR="00983D48" w:rsidRDefault="00983D48">
      <w:r>
        <w:separator/>
      </w:r>
    </w:p>
  </w:footnote>
  <w:footnote w:type="continuationSeparator" w:id="0">
    <w:p w14:paraId="7E361F0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30E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81FE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4CAFA29" w14:textId="77777777" w:rsidR="008F53F3" w:rsidRDefault="008F53F3" w:rsidP="008F53F3">
    <w:pPr>
      <w:rPr>
        <w:szCs w:val="24"/>
      </w:rPr>
    </w:pPr>
  </w:p>
  <w:p w14:paraId="39EBC93E" w14:textId="77777777" w:rsidR="008F53F3" w:rsidRDefault="008F53F3" w:rsidP="008F53F3">
    <w:pPr>
      <w:rPr>
        <w:szCs w:val="24"/>
      </w:rPr>
    </w:pPr>
  </w:p>
  <w:p w14:paraId="25941AE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41308</w:t>
    </w:r>
    <w:r>
      <w:rPr>
        <w:szCs w:val="24"/>
      </w:rPr>
      <w:t>     </w:t>
    </w:r>
  </w:p>
  <w:p w14:paraId="3DD8DF6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9813B48" w14:textId="77777777" w:rsidR="0073151A" w:rsidRDefault="0073151A" w:rsidP="0073151A"/>
      <w:p w14:paraId="7DCC2067" w14:textId="77777777" w:rsidR="0073151A" w:rsidRPr="006E7BAE" w:rsidRDefault="0073151A" w:rsidP="0073151A"/>
      <w:p w14:paraId="1B041B29" w14:textId="77777777" w:rsidR="0073151A" w:rsidRPr="006E7BAE" w:rsidRDefault="0073151A" w:rsidP="0073151A"/>
      <w:p w14:paraId="0792C499" w14:textId="77777777" w:rsidR="0073151A" w:rsidRPr="006E7BAE" w:rsidRDefault="0073151A" w:rsidP="0073151A"/>
      <w:p w14:paraId="248CC6C0" w14:textId="77777777" w:rsidR="0073151A" w:rsidRDefault="0073151A" w:rsidP="0073151A"/>
      <w:p w14:paraId="47B16AD2" w14:textId="77777777" w:rsidR="0073151A" w:rsidRDefault="0073151A" w:rsidP="0073151A"/>
      <w:p w14:paraId="7C5BE788" w14:textId="77777777" w:rsidR="0073151A" w:rsidRDefault="0073151A" w:rsidP="0073151A"/>
      <w:p w14:paraId="6CCE462A" w14:textId="77777777" w:rsidR="0073151A" w:rsidRDefault="0073151A" w:rsidP="0073151A"/>
      <w:p w14:paraId="4066998A" w14:textId="77777777" w:rsidR="0073151A" w:rsidRDefault="0073151A" w:rsidP="0073151A"/>
      <w:p w14:paraId="3B1D2CB5" w14:textId="77777777" w:rsidR="0073151A" w:rsidRPr="006E7BAE" w:rsidRDefault="0073151A" w:rsidP="0073151A"/>
      <w:p w14:paraId="6948F2F8" w14:textId="77777777" w:rsidR="00ED265D" w:rsidRPr="0073151A" w:rsidRDefault="004E131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C77B3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1313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284C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0DE9"/>
    <w:rsid w:val="009B161D"/>
    <w:rsid w:val="009D45DF"/>
    <w:rsid w:val="009E0D8D"/>
    <w:rsid w:val="009E0F71"/>
    <w:rsid w:val="009E401D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393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1FED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4761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8E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81FE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Karakatsanis; O'Bonsawin</AuthorContributor>
    <FolderNameEn xmlns="40ae4924-d04e-473c-aafa-3657aad971d6">Leave Application - Judgment on Leave Application</FolderNameEn>
    <Case xmlns="40ae4924-d04e-473c-aafa-3657aad971d6">15763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B7546-3802-4F7C-90B8-FF46CDE05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AA2EB-DC31-400E-AAEE-524F37C0A3B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E4D1DC-F6DE-41F4-B88B-A085227D6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2024-11-04T18:49:00Z</dcterms:created>
  <dcterms:modified xsi:type="dcterms:W3CDTF">2024-11-04T18:49:00Z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