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E5CD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41284</w:t>
      </w:r>
      <w:r w:rsidR="0016666F" w:rsidRPr="006E7BAE">
        <w:t>     </w:t>
      </w:r>
    </w:p>
    <w:p w14:paraId="081BBAE9" w14:textId="77777777" w:rsidR="009F436C" w:rsidRDefault="009F436C" w:rsidP="00382FEC"/>
    <w:p w14:paraId="2ADE2F39" w14:textId="77777777" w:rsidR="00E34C35" w:rsidRPr="006E7BAE" w:rsidRDefault="00E34C35" w:rsidP="00382FEC"/>
    <w:p w14:paraId="28C6687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7AC22D3" w14:textId="77777777" w:rsidTr="00C173B0">
        <w:tc>
          <w:tcPr>
            <w:tcW w:w="2269" w:type="pct"/>
          </w:tcPr>
          <w:p w14:paraId="5EA34186" w14:textId="77777777" w:rsidR="00417FB7" w:rsidRPr="006E7BAE" w:rsidRDefault="00F52DA7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3815A1C6" w14:textId="77777777" w:rsidR="00417FB7" w:rsidRPr="006E7BAE" w:rsidRDefault="00417FB7" w:rsidP="00382FEC"/>
        </w:tc>
        <w:tc>
          <w:tcPr>
            <w:tcW w:w="2350" w:type="pct"/>
          </w:tcPr>
          <w:p w14:paraId="30EBF89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52DA7">
              <w:t>21 novembre</w:t>
            </w:r>
            <w:r>
              <w:t xml:space="preserve"> 2024</w:t>
            </w:r>
          </w:p>
        </w:tc>
      </w:tr>
      <w:tr w:rsidR="00E12A51" w:rsidRPr="006E7BAE" w14:paraId="6A75A62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C0E96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C795D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CD6A5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3F74200" w14:textId="77777777" w:rsidTr="00C173B0">
        <w:tc>
          <w:tcPr>
            <w:tcW w:w="2269" w:type="pct"/>
          </w:tcPr>
          <w:p w14:paraId="3E752859" w14:textId="77777777" w:rsidR="00E34C35" w:rsidRDefault="00E34C35">
            <w:pPr>
              <w:pStyle w:val="SCCLsocPrefix"/>
            </w:pPr>
          </w:p>
          <w:p w14:paraId="2F99BEEA" w14:textId="77777777" w:rsidR="00D4633C" w:rsidRDefault="006A5407">
            <w:pPr>
              <w:pStyle w:val="SCCLsocPrefix"/>
            </w:pPr>
            <w:r>
              <w:t>BETWEEN:</w:t>
            </w:r>
          </w:p>
          <w:p w14:paraId="383DF605" w14:textId="77777777" w:rsidR="006A5407" w:rsidRPr="006A5407" w:rsidRDefault="006A5407" w:rsidP="006A5407"/>
          <w:p w14:paraId="3C13DD95" w14:textId="77777777" w:rsidR="00D4633C" w:rsidRDefault="006A5407">
            <w:pPr>
              <w:pStyle w:val="SCCLsocParty"/>
            </w:pPr>
            <w:r>
              <w:t>Lynda Walker, Murry Hunter, Brian Hunter and Velvet Clark</w:t>
            </w:r>
            <w:r>
              <w:br/>
            </w:r>
          </w:p>
          <w:p w14:paraId="612866B5" w14:textId="77777777" w:rsidR="00D4633C" w:rsidRDefault="006A5407">
            <w:pPr>
              <w:pStyle w:val="SCCLsocPartyRole"/>
            </w:pPr>
            <w:r>
              <w:t>Applicants</w:t>
            </w:r>
            <w:r>
              <w:br/>
            </w:r>
          </w:p>
          <w:p w14:paraId="65F915D4" w14:textId="77777777" w:rsidR="00D4633C" w:rsidRDefault="006A5407">
            <w:pPr>
              <w:pStyle w:val="SCCLsocVersus"/>
            </w:pPr>
            <w:r>
              <w:t>- and -</w:t>
            </w:r>
          </w:p>
          <w:p w14:paraId="1FC74B52" w14:textId="77777777" w:rsidR="00D4633C" w:rsidRDefault="00D4633C"/>
          <w:p w14:paraId="3BA15272" w14:textId="2CEEE679" w:rsidR="00D4633C" w:rsidRDefault="006A5407" w:rsidP="00652D96">
            <w:pPr>
              <w:pStyle w:val="SCCLsocParty"/>
            </w:pPr>
            <w:r>
              <w:t xml:space="preserve">Bruce Hunter in his personal capacity, Bruce Hunter as </w:t>
            </w:r>
            <w:r w:rsidR="00125D4A">
              <w:t>p</w:t>
            </w:r>
            <w:r>
              <w:t xml:space="preserve">ersonal </w:t>
            </w:r>
            <w:r w:rsidR="00125D4A">
              <w:t>r</w:t>
            </w:r>
            <w:r>
              <w:t xml:space="preserve">epresentative of the Estate of David Hunter, </w:t>
            </w:r>
            <w:r w:rsidR="00125D4A">
              <w:t>d</w:t>
            </w:r>
            <w:r>
              <w:t xml:space="preserve">eceased, Bruce Hunter as </w:t>
            </w:r>
            <w:r w:rsidR="00125D4A">
              <w:t>p</w:t>
            </w:r>
            <w:r>
              <w:t xml:space="preserve">ersonal </w:t>
            </w:r>
            <w:r w:rsidR="00125D4A">
              <w:t>r</w:t>
            </w:r>
            <w:r>
              <w:t xml:space="preserve">epresentative of the Estate of Gloria Hunter, </w:t>
            </w:r>
            <w:r w:rsidR="00125D4A">
              <w:t>d</w:t>
            </w:r>
            <w:r>
              <w:t xml:space="preserve">eceased, Donald Ernst as </w:t>
            </w:r>
            <w:r w:rsidR="00125D4A">
              <w:t>p</w:t>
            </w:r>
            <w:r>
              <w:t xml:space="preserve">ersonal </w:t>
            </w:r>
            <w:r w:rsidR="00125D4A">
              <w:t>r</w:t>
            </w:r>
            <w:r>
              <w:t xml:space="preserve">epresentative of the Estate of Lorne Hunter, </w:t>
            </w:r>
            <w:r w:rsidR="00125D4A">
              <w:t>d</w:t>
            </w:r>
            <w:r>
              <w:t xml:space="preserve">eceased, David Clark as </w:t>
            </w:r>
            <w:r w:rsidR="00125D4A">
              <w:t>p</w:t>
            </w:r>
            <w:r>
              <w:t xml:space="preserve">ersonal </w:t>
            </w:r>
            <w:r w:rsidR="00125D4A">
              <w:t>r</w:t>
            </w:r>
            <w:r>
              <w:t xml:space="preserve">epresentative of the Estate of Lorne Hunter, </w:t>
            </w:r>
            <w:r w:rsidR="00125D4A">
              <w:t>d</w:t>
            </w:r>
            <w:r>
              <w:t xml:space="preserve">eceased and Diane Giesbrecht in her </w:t>
            </w:r>
            <w:r w:rsidR="00125D4A">
              <w:t>p</w:t>
            </w:r>
            <w:r>
              <w:t>ersonal </w:t>
            </w:r>
            <w:r w:rsidR="00125D4A">
              <w:t>c</w:t>
            </w:r>
            <w:r>
              <w:t>apacity</w:t>
            </w:r>
            <w:r>
              <w:br/>
            </w:r>
          </w:p>
          <w:p w14:paraId="36E4A818" w14:textId="77777777" w:rsidR="00D4633C" w:rsidRDefault="006A5407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D1181E6" w14:textId="77777777" w:rsidR="00824412" w:rsidRPr="006E7BAE" w:rsidRDefault="00824412" w:rsidP="00375294"/>
        </w:tc>
        <w:tc>
          <w:tcPr>
            <w:tcW w:w="2350" w:type="pct"/>
          </w:tcPr>
          <w:p w14:paraId="23B144F3" w14:textId="77777777" w:rsidR="00E34C35" w:rsidRDefault="00E34C35">
            <w:pPr>
              <w:pStyle w:val="SCCLsocPrefix"/>
            </w:pPr>
          </w:p>
          <w:p w14:paraId="62AEE36F" w14:textId="77777777" w:rsidR="00D4633C" w:rsidRDefault="006A5407">
            <w:pPr>
              <w:pStyle w:val="SCCLsocPrefix"/>
            </w:pPr>
            <w:r>
              <w:t>ENTRE :</w:t>
            </w:r>
          </w:p>
          <w:p w14:paraId="6A580C43" w14:textId="77777777" w:rsidR="006A5407" w:rsidRPr="006A5407" w:rsidRDefault="006A5407" w:rsidP="006A5407"/>
          <w:p w14:paraId="4EDB589B" w14:textId="77777777" w:rsidR="00D4633C" w:rsidRDefault="006A5407">
            <w:pPr>
              <w:pStyle w:val="SCCLsocParty"/>
            </w:pPr>
            <w:r>
              <w:t>Lynda Walker, Murry Hunter, Brian Hunter et Velvet Clark</w:t>
            </w:r>
            <w:r>
              <w:br/>
            </w:r>
          </w:p>
          <w:p w14:paraId="4FE30C39" w14:textId="77777777" w:rsidR="00D4633C" w:rsidRPr="00D90D2F" w:rsidRDefault="006A5407">
            <w:pPr>
              <w:pStyle w:val="SCCLsocPartyRole"/>
              <w:rPr>
                <w:lang w:val="fr-CA"/>
              </w:rPr>
            </w:pPr>
            <w:r w:rsidRPr="00D90D2F">
              <w:rPr>
                <w:lang w:val="fr-CA"/>
              </w:rPr>
              <w:t>Demandeurs</w:t>
            </w:r>
            <w:r w:rsidRPr="00D90D2F">
              <w:rPr>
                <w:lang w:val="fr-CA"/>
              </w:rPr>
              <w:br/>
            </w:r>
          </w:p>
          <w:p w14:paraId="5458BF59" w14:textId="77777777" w:rsidR="00D4633C" w:rsidRPr="00D90D2F" w:rsidRDefault="006A5407">
            <w:pPr>
              <w:pStyle w:val="SCCLsocVersus"/>
              <w:rPr>
                <w:lang w:val="fr-CA"/>
              </w:rPr>
            </w:pPr>
            <w:r w:rsidRPr="00D90D2F">
              <w:rPr>
                <w:lang w:val="fr-CA"/>
              </w:rPr>
              <w:t>- et -</w:t>
            </w:r>
          </w:p>
          <w:p w14:paraId="6BB18E99" w14:textId="77777777" w:rsidR="00D4633C" w:rsidRPr="00D90D2F" w:rsidRDefault="00D4633C">
            <w:pPr>
              <w:rPr>
                <w:lang w:val="fr-CA"/>
              </w:rPr>
            </w:pPr>
          </w:p>
          <w:p w14:paraId="60F55B2A" w14:textId="060EED4C" w:rsidR="006A5407" w:rsidRDefault="005C10E1" w:rsidP="00652D96">
            <w:pPr>
              <w:jc w:val="center"/>
              <w:rPr>
                <w:sz w:val="23"/>
                <w:szCs w:val="23"/>
                <w:lang w:val="fr-CA"/>
              </w:rPr>
            </w:pPr>
            <w:r w:rsidRPr="00057CA1">
              <w:rPr>
                <w:sz w:val="23"/>
                <w:szCs w:val="23"/>
                <w:lang w:val="fr-CA"/>
              </w:rPr>
              <w:t xml:space="preserve">Bruce Hunter, à titre personnel, Bruce Hunter, </w:t>
            </w:r>
            <w:r w:rsidRPr="00057CA1">
              <w:rPr>
                <w:color w:val="000000"/>
                <w:sz w:val="23"/>
                <w:szCs w:val="23"/>
                <w:lang w:val="fr-CA"/>
              </w:rPr>
              <w:t>à titre de représentant personnel de la succession</w:t>
            </w:r>
            <w:r w:rsidRPr="00057CA1">
              <w:rPr>
                <w:sz w:val="23"/>
                <w:szCs w:val="23"/>
                <w:lang w:val="fr-CA"/>
              </w:rPr>
              <w:t xml:space="preserve"> de David Hunter, défunt, Bruce Hunter, </w:t>
            </w:r>
            <w:r w:rsidRPr="00057CA1">
              <w:rPr>
                <w:color w:val="000000"/>
                <w:sz w:val="23"/>
                <w:szCs w:val="23"/>
                <w:lang w:val="fr-CA"/>
              </w:rPr>
              <w:t>à titre de représentant personnel de la succession</w:t>
            </w:r>
            <w:r w:rsidRPr="00057CA1">
              <w:rPr>
                <w:sz w:val="23"/>
                <w:szCs w:val="23"/>
                <w:lang w:val="fr-CA"/>
              </w:rPr>
              <w:t xml:space="preserve"> de Gloria Hunter, défunte, Donald Ernst, </w:t>
            </w:r>
            <w:r w:rsidRPr="00057CA1">
              <w:rPr>
                <w:color w:val="000000"/>
                <w:sz w:val="23"/>
                <w:szCs w:val="23"/>
                <w:lang w:val="fr-CA"/>
              </w:rPr>
              <w:t>à titre de représentant personnel de la succession</w:t>
            </w:r>
            <w:r w:rsidRPr="00057CA1">
              <w:rPr>
                <w:sz w:val="23"/>
                <w:szCs w:val="23"/>
                <w:lang w:val="fr-CA"/>
              </w:rPr>
              <w:t xml:space="preserve"> de Lorne Hunter, défunt, David Clark, </w:t>
            </w:r>
            <w:r w:rsidRPr="00057CA1">
              <w:rPr>
                <w:color w:val="000000"/>
                <w:sz w:val="23"/>
                <w:szCs w:val="23"/>
                <w:lang w:val="fr-CA"/>
              </w:rPr>
              <w:t>à titre de représentant personnel de la succession</w:t>
            </w:r>
            <w:r w:rsidRPr="00057CA1">
              <w:rPr>
                <w:sz w:val="23"/>
                <w:szCs w:val="23"/>
                <w:lang w:val="fr-CA"/>
              </w:rPr>
              <w:t xml:space="preserve"> de Lorne Hunter, </w:t>
            </w:r>
            <w:r>
              <w:rPr>
                <w:sz w:val="23"/>
                <w:szCs w:val="23"/>
                <w:lang w:val="fr-CA"/>
              </w:rPr>
              <w:t>défunt</w:t>
            </w:r>
            <w:r w:rsidR="00D90D2F">
              <w:rPr>
                <w:sz w:val="23"/>
                <w:szCs w:val="23"/>
                <w:lang w:val="fr-CA"/>
              </w:rPr>
              <w:t xml:space="preserve"> et</w:t>
            </w:r>
            <w:r w:rsidRPr="00057CA1">
              <w:rPr>
                <w:sz w:val="23"/>
                <w:szCs w:val="23"/>
                <w:lang w:val="fr-CA"/>
              </w:rPr>
              <w:t xml:space="preserve"> Diane Giesbrecht</w:t>
            </w:r>
            <w:r>
              <w:rPr>
                <w:sz w:val="23"/>
                <w:szCs w:val="23"/>
                <w:lang w:val="fr-CA"/>
              </w:rPr>
              <w:t>, à titre personnel</w:t>
            </w:r>
          </w:p>
          <w:p w14:paraId="1E369F71" w14:textId="77777777" w:rsidR="00D90D2F" w:rsidRPr="00D90D2F" w:rsidRDefault="00D90D2F" w:rsidP="006A5407">
            <w:pPr>
              <w:rPr>
                <w:lang w:val="fr-CA"/>
              </w:rPr>
            </w:pPr>
          </w:p>
          <w:p w14:paraId="3FB73EF6" w14:textId="77777777" w:rsidR="00D4633C" w:rsidRDefault="006A5407">
            <w:pPr>
              <w:pStyle w:val="SCCLsocPartyRole"/>
            </w:pPr>
            <w:r>
              <w:t>Intimés</w:t>
            </w:r>
          </w:p>
        </w:tc>
      </w:tr>
      <w:tr w:rsidR="00824412" w:rsidRPr="006E7BAE" w14:paraId="04B3253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FABE3A5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04935A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39BA26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16FE8" w14:paraId="5F4D2FE5" w14:textId="77777777" w:rsidTr="00D90D2F">
        <w:trPr>
          <w:trHeight w:val="687"/>
        </w:trPr>
        <w:tc>
          <w:tcPr>
            <w:tcW w:w="2269" w:type="pct"/>
          </w:tcPr>
          <w:p w14:paraId="67A84F6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EFA1B3F" w14:textId="77777777" w:rsidR="00824412" w:rsidRPr="006E7BAE" w:rsidRDefault="00824412" w:rsidP="00417FB7">
            <w:pPr>
              <w:jc w:val="center"/>
            </w:pPr>
          </w:p>
          <w:p w14:paraId="7C95111D" w14:textId="28EFB23E" w:rsidR="003F6511" w:rsidRDefault="00EA7A93" w:rsidP="00D90D2F">
            <w:pPr>
              <w:jc w:val="both"/>
            </w:pPr>
            <w:r>
              <w:t xml:space="preserve">The motion for an extension of time to serve and file the response to the application for leave to </w:t>
            </w:r>
            <w:r w:rsidR="00AE39DB">
              <w:t>appeal</w:t>
            </w:r>
            <w:r w:rsidR="00616FE8">
              <w:t xml:space="preserve"> filed by the respondent</w:t>
            </w:r>
            <w:r>
              <w:t xml:space="preserve"> Bruce Hunter</w:t>
            </w:r>
            <w:r w:rsidR="00AE39DB">
              <w:t xml:space="preserve"> </w:t>
            </w:r>
            <w:r>
              <w:t xml:space="preserve">is </w:t>
            </w:r>
            <w:r w:rsidR="00E34C35">
              <w:t xml:space="preserve">granted. </w:t>
            </w:r>
            <w:r w:rsidR="00616FE8">
              <w:t xml:space="preserve">The motion for an extension of time to serve and file the response to the application for leave to </w:t>
            </w:r>
            <w:r w:rsidR="00AE39DB">
              <w:t xml:space="preserve">appeal </w:t>
            </w:r>
            <w:r w:rsidR="00616FE8">
              <w:t>filed by the respondent David Clark</w:t>
            </w:r>
            <w:r w:rsidR="00AE39DB">
              <w:t xml:space="preserve"> </w:t>
            </w:r>
            <w:r w:rsidR="00616FE8">
              <w:t xml:space="preserve">is granted. </w:t>
            </w:r>
            <w:r w:rsidR="00824412" w:rsidRPr="006E7BAE">
              <w:t>The app</w:t>
            </w:r>
            <w:r w:rsidR="00011960" w:rsidRPr="006E7BAE">
              <w:t xml:space="preserve">lication for </w:t>
            </w:r>
            <w:r w:rsidR="00011960" w:rsidRPr="006E7BAE">
              <w:lastRenderedPageBreak/>
              <w:t>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Saskatchewan</w:t>
            </w:r>
            <w:r w:rsidR="00824412" w:rsidRPr="006E7BAE">
              <w:t xml:space="preserve">, Number </w:t>
            </w:r>
            <w:r w:rsidR="00824412">
              <w:t xml:space="preserve">CACV3855, </w:t>
            </w:r>
            <w:r w:rsidRPr="00D90D2F">
              <w:rPr>
                <w:rStyle w:val="Hyperlink"/>
                <w:color w:val="000000" w:themeColor="text1"/>
                <w:u w:val="none"/>
              </w:rPr>
              <w:t>2024 SKCA 34</w:t>
            </w:r>
            <w:r w:rsidR="00824412" w:rsidRPr="00D90D2F">
              <w:rPr>
                <w:color w:val="000000" w:themeColor="text1"/>
              </w:rPr>
              <w:t>,</w:t>
            </w:r>
            <w:r w:rsidR="00824412" w:rsidRPr="006E7BAE">
              <w:t xml:space="preserve"> dated </w:t>
            </w:r>
            <w:r w:rsidR="00824412">
              <w:t>March 20, 2024</w:t>
            </w:r>
            <w:r w:rsidR="005C10E1">
              <w:t>,</w:t>
            </w:r>
            <w:r w:rsidR="00824412" w:rsidRPr="006E7BAE">
              <w:t xml:space="preserve"> is </w:t>
            </w:r>
            <w:r w:rsidR="00E34C35">
              <w:t>dismissed with costs</w:t>
            </w:r>
            <w:r w:rsidR="00824412" w:rsidRPr="006E7BAE">
              <w:t>.</w:t>
            </w:r>
          </w:p>
          <w:p w14:paraId="7DBE7912" w14:textId="77777777" w:rsidR="00D90D2F" w:rsidRDefault="00D90D2F" w:rsidP="00D90D2F">
            <w:pPr>
              <w:jc w:val="both"/>
            </w:pPr>
          </w:p>
          <w:p w14:paraId="00633109" w14:textId="442CB187" w:rsidR="00D90D2F" w:rsidRPr="006E7BAE" w:rsidRDefault="00D90D2F" w:rsidP="00D90D2F">
            <w:pPr>
              <w:jc w:val="both"/>
            </w:pPr>
          </w:p>
        </w:tc>
        <w:tc>
          <w:tcPr>
            <w:tcW w:w="381" w:type="pct"/>
          </w:tcPr>
          <w:p w14:paraId="785CE7F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F3C6D7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C412C7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B532207" w14:textId="0E95BA96" w:rsidR="003F6511" w:rsidRPr="006E7BAE" w:rsidRDefault="00EA7A93" w:rsidP="00AE39DB">
            <w:pPr>
              <w:jc w:val="both"/>
              <w:rPr>
                <w:lang w:val="fr-CA"/>
              </w:rPr>
            </w:pPr>
            <w:r w:rsidRPr="00D90D2F">
              <w:rPr>
                <w:color w:val="000000"/>
                <w:lang w:val="fr-CA"/>
              </w:rPr>
              <w:t>La requête en prorogation du délai de signification et de dépôt de la réponse à la demande d’autori</w:t>
            </w:r>
            <w:r w:rsidR="00AE39DB">
              <w:rPr>
                <w:color w:val="000000"/>
                <w:lang w:val="fr-CA"/>
              </w:rPr>
              <w:t>sation d’appel, déposée par l’</w:t>
            </w:r>
            <w:r w:rsidR="00AE39DB" w:rsidRPr="00D90D2F">
              <w:rPr>
                <w:color w:val="000000"/>
                <w:lang w:val="fr-CA"/>
              </w:rPr>
              <w:t>intimé</w:t>
            </w:r>
            <w:r w:rsidRPr="00D90D2F">
              <w:rPr>
                <w:color w:val="000000"/>
                <w:lang w:val="fr-CA"/>
              </w:rPr>
              <w:t> </w:t>
            </w:r>
            <w:r>
              <w:rPr>
                <w:color w:val="000000"/>
                <w:lang w:val="fr-CA"/>
              </w:rPr>
              <w:t xml:space="preserve">Bruce Hunter est </w:t>
            </w:r>
            <w:r w:rsidR="00616FE8">
              <w:rPr>
                <w:lang w:val="fr-CA"/>
              </w:rPr>
              <w:t xml:space="preserve"> accueillie. </w:t>
            </w:r>
            <w:r w:rsidR="00616FE8" w:rsidRPr="00D90D2F">
              <w:rPr>
                <w:color w:val="000000"/>
                <w:lang w:val="fr-CA"/>
              </w:rPr>
              <w:t>La requête en prorogation du délai de signification et de dépôt de la réponse à la demande d’autorisation d’appel, déposée par l</w:t>
            </w:r>
            <w:r w:rsidR="00AE39DB">
              <w:rPr>
                <w:color w:val="000000"/>
                <w:lang w:val="fr-CA"/>
              </w:rPr>
              <w:t xml:space="preserve">’intimé </w:t>
            </w:r>
            <w:r w:rsidR="00616FE8">
              <w:rPr>
                <w:color w:val="000000"/>
                <w:lang w:val="fr-CA"/>
              </w:rPr>
              <w:t xml:space="preserve">David Clark, est </w:t>
            </w:r>
            <w:r w:rsidR="00616FE8" w:rsidRPr="008D41EE">
              <w:rPr>
                <w:lang w:val="fr-CA"/>
              </w:rPr>
              <w:t xml:space="preserve">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011960" w:rsidRPr="006E7BAE">
              <w:rPr>
                <w:lang w:val="fr-CA"/>
              </w:rPr>
              <w:lastRenderedPageBreak/>
              <w:t>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A62BD">
              <w:rPr>
                <w:lang w:val="fr-CA"/>
              </w:rPr>
              <w:t>Cour d’appel de la Saskatchewan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BA62BD">
              <w:rPr>
                <w:lang w:val="fr-CA"/>
              </w:rPr>
              <w:t xml:space="preserve">CACV3855, </w:t>
            </w:r>
            <w:r w:rsidRPr="00D90D2F">
              <w:rPr>
                <w:rStyle w:val="Hyperlink"/>
                <w:color w:val="000000" w:themeColor="text1"/>
                <w:u w:val="none"/>
                <w:lang w:val="fr-CA"/>
              </w:rPr>
              <w:t>2024 SKCA 34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A62BD">
              <w:rPr>
                <w:lang w:val="fr-CA"/>
              </w:rPr>
              <w:t>20</w:t>
            </w:r>
            <w:r w:rsidR="00E34C35">
              <w:rPr>
                <w:lang w:val="fr-CA"/>
              </w:rPr>
              <w:t> </w:t>
            </w:r>
            <w:r w:rsidR="00824412" w:rsidRPr="00BA62BD">
              <w:rPr>
                <w:lang w:val="fr-CA"/>
              </w:rPr>
              <w:t>mars</w:t>
            </w:r>
            <w:r w:rsidR="00E34C35">
              <w:rPr>
                <w:lang w:val="fr-CA"/>
              </w:rPr>
              <w:t> </w:t>
            </w:r>
            <w:r w:rsidR="00824412" w:rsidRPr="00BA62BD">
              <w:rPr>
                <w:lang w:val="fr-CA"/>
              </w:rPr>
              <w:t>2024</w:t>
            </w:r>
            <w:r w:rsidR="00824412" w:rsidRPr="006E7BAE">
              <w:rPr>
                <w:lang w:val="fr-CA"/>
              </w:rPr>
              <w:t xml:space="preserve">, est </w:t>
            </w:r>
            <w:r w:rsidR="00E34C35"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F335DBA" w14:textId="77777777" w:rsidR="009F436C" w:rsidRDefault="009F436C" w:rsidP="00417FB7">
      <w:pPr>
        <w:jc w:val="center"/>
        <w:rPr>
          <w:lang w:val="fr-CA"/>
        </w:rPr>
      </w:pPr>
    </w:p>
    <w:p w14:paraId="0B5C82E6" w14:textId="77777777" w:rsidR="00652D96" w:rsidRDefault="00652D96" w:rsidP="00417FB7">
      <w:pPr>
        <w:jc w:val="center"/>
        <w:rPr>
          <w:lang w:val="fr-CA"/>
        </w:rPr>
      </w:pPr>
    </w:p>
    <w:p w14:paraId="1650AF16" w14:textId="77777777" w:rsidR="00EA7A93" w:rsidRDefault="00EA7A93" w:rsidP="00417FB7">
      <w:pPr>
        <w:jc w:val="center"/>
        <w:rPr>
          <w:lang w:val="fr-CA"/>
        </w:rPr>
      </w:pPr>
    </w:p>
    <w:p w14:paraId="609F73D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02D20E7" w14:textId="77777777" w:rsidR="003A37CF" w:rsidRPr="00D83B8C" w:rsidRDefault="003A37CF" w:rsidP="006A540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6A5407">
      <w:headerReference w:type="default" r:id="rId9"/>
      <w:headerReference w:type="first" r:id="rId10"/>
      <w:type w:val="continuous"/>
      <w:pgSz w:w="12240" w:h="15840"/>
      <w:pgMar w:top="720" w:right="1440" w:bottom="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C9A72" w14:textId="77777777" w:rsidR="00983D48" w:rsidRDefault="00983D48">
      <w:r>
        <w:separator/>
      </w:r>
    </w:p>
  </w:endnote>
  <w:endnote w:type="continuationSeparator" w:id="0">
    <w:p w14:paraId="289DB60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5EF3B" w14:textId="77777777" w:rsidR="00983D48" w:rsidRDefault="00983D48">
      <w:r>
        <w:separator/>
      </w:r>
    </w:p>
  </w:footnote>
  <w:footnote w:type="continuationSeparator" w:id="0">
    <w:p w14:paraId="5427AE7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085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120E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3C2CFD7" w14:textId="77777777" w:rsidR="008F53F3" w:rsidRDefault="008F53F3" w:rsidP="008F53F3">
    <w:pPr>
      <w:rPr>
        <w:szCs w:val="24"/>
      </w:rPr>
    </w:pPr>
  </w:p>
  <w:p w14:paraId="63AC185C" w14:textId="77777777" w:rsidR="008F53F3" w:rsidRDefault="008F53F3" w:rsidP="008F53F3">
    <w:pPr>
      <w:rPr>
        <w:szCs w:val="24"/>
      </w:rPr>
    </w:pPr>
  </w:p>
  <w:p w14:paraId="5C2F768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41284</w:t>
    </w:r>
    <w:r>
      <w:rPr>
        <w:szCs w:val="24"/>
      </w:rPr>
      <w:t>     </w:t>
    </w:r>
  </w:p>
  <w:p w14:paraId="23E33BF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F2165B8" w14:textId="77777777" w:rsidR="0073151A" w:rsidRDefault="0073151A" w:rsidP="0073151A"/>
      <w:p w14:paraId="2F47FFB6" w14:textId="77777777" w:rsidR="0073151A" w:rsidRPr="006E7BAE" w:rsidRDefault="0073151A" w:rsidP="0073151A"/>
      <w:p w14:paraId="7829C7F9" w14:textId="77777777" w:rsidR="0073151A" w:rsidRPr="006E7BAE" w:rsidRDefault="0073151A" w:rsidP="0073151A"/>
      <w:p w14:paraId="75E99A02" w14:textId="77777777" w:rsidR="0073151A" w:rsidRPr="006E7BAE" w:rsidRDefault="0073151A" w:rsidP="0073151A"/>
      <w:p w14:paraId="1DC636FD" w14:textId="77777777" w:rsidR="0073151A" w:rsidRDefault="0073151A" w:rsidP="0073151A"/>
      <w:p w14:paraId="58384FEA" w14:textId="77777777" w:rsidR="0073151A" w:rsidRDefault="0073151A" w:rsidP="0073151A"/>
      <w:p w14:paraId="035EB335" w14:textId="77777777" w:rsidR="0073151A" w:rsidRDefault="0073151A" w:rsidP="0073151A"/>
      <w:p w14:paraId="630D9AA5" w14:textId="77777777" w:rsidR="0073151A" w:rsidRDefault="0073151A" w:rsidP="0073151A"/>
      <w:p w14:paraId="1BF29418" w14:textId="77777777" w:rsidR="0073151A" w:rsidRDefault="0073151A" w:rsidP="0073151A"/>
      <w:p w14:paraId="442822A0" w14:textId="77777777" w:rsidR="0073151A" w:rsidRPr="006E7BAE" w:rsidRDefault="0073151A" w:rsidP="0073151A"/>
      <w:p w14:paraId="52C54005" w14:textId="77777777" w:rsidR="00ED265D" w:rsidRPr="0073151A" w:rsidRDefault="00B120E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036E"/>
    <w:rsid w:val="00110EB3"/>
    <w:rsid w:val="00125D4A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C10E1"/>
    <w:rsid w:val="00612913"/>
    <w:rsid w:val="00614908"/>
    <w:rsid w:val="00616FE8"/>
    <w:rsid w:val="00650109"/>
    <w:rsid w:val="00652D96"/>
    <w:rsid w:val="006A5407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E39DB"/>
    <w:rsid w:val="00B120E1"/>
    <w:rsid w:val="00B158E3"/>
    <w:rsid w:val="00B328CD"/>
    <w:rsid w:val="00B408F8"/>
    <w:rsid w:val="00B5078E"/>
    <w:rsid w:val="00B60EDC"/>
    <w:rsid w:val="00BA62BD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4633C"/>
    <w:rsid w:val="00D61AC2"/>
    <w:rsid w:val="00D83B8C"/>
    <w:rsid w:val="00D90D2F"/>
    <w:rsid w:val="00DA4281"/>
    <w:rsid w:val="00DB1ADC"/>
    <w:rsid w:val="00DD4332"/>
    <w:rsid w:val="00E043C8"/>
    <w:rsid w:val="00E12A51"/>
    <w:rsid w:val="00E34C35"/>
    <w:rsid w:val="00E736B9"/>
    <w:rsid w:val="00E777AD"/>
    <w:rsid w:val="00EA4B61"/>
    <w:rsid w:val="00EA7A93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2DA7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88FCCE8"/>
  <w15:docId w15:val="{A1176D9E-5B67-4BC6-9CB9-1097811A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D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4A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15739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42D98-DC2C-4366-A408-13D649E3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1B474-8E53-4749-B27C-6B03FB1D633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40ae4924-d04e-473c-aafa-3657aad971d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7AD8A2-30D1-4269-ADE1-CB3FD7BF4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Carrière Caroline</dc:creator>
  <cp:lastModifiedBy>Carrière Caroline</cp:lastModifiedBy>
  <cp:revision>2</cp:revision>
  <dcterms:created xsi:type="dcterms:W3CDTF">2024-11-18T19:33:00Z</dcterms:created>
  <dcterms:modified xsi:type="dcterms:W3CDTF">2024-11-18T19:33:00Z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