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31E53" w14:textId="77777777" w:rsidR="009F436C" w:rsidRPr="001E26DB" w:rsidRDefault="00BD2A96" w:rsidP="00AE2077">
      <w:pPr>
        <w:jc w:val="right"/>
      </w:pPr>
      <w:bookmarkStart w:id="0" w:name="_GoBack"/>
      <w:bookmarkEnd w:id="0"/>
      <w:r w:rsidRPr="001E26DB">
        <w:rPr>
          <w:szCs w:val="24"/>
        </w:rPr>
        <w:t>N</w:t>
      </w:r>
      <w:r w:rsidRPr="001E26DB">
        <w:rPr>
          <w:szCs w:val="24"/>
          <w:vertAlign w:val="superscript"/>
        </w:rPr>
        <w:t>o</w:t>
      </w:r>
      <w:r w:rsidR="003A37CF" w:rsidRPr="001E26DB">
        <w:t xml:space="preserve"> </w:t>
      </w:r>
      <w:r>
        <w:t>41303</w:t>
      </w:r>
      <w:r w:rsidR="00E81C0B" w:rsidRPr="001E26DB">
        <w:t>     </w:t>
      </w:r>
    </w:p>
    <w:p w14:paraId="507F31A4" w14:textId="77777777" w:rsidR="009F436C" w:rsidRPr="001E26DB" w:rsidRDefault="009F436C" w:rsidP="00382FEC"/>
    <w:p w14:paraId="3AA0321A" w14:textId="77777777" w:rsidR="003C744C" w:rsidRPr="001E26DB" w:rsidRDefault="003C744C"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2554E" w14:paraId="1FC7AB19" w14:textId="77777777" w:rsidTr="00B37A52">
        <w:tc>
          <w:tcPr>
            <w:tcW w:w="2269" w:type="pct"/>
          </w:tcPr>
          <w:p w14:paraId="2EAEDAE6" w14:textId="77777777" w:rsidR="00417FB7" w:rsidRPr="001E26DB" w:rsidRDefault="0062554E" w:rsidP="008262A3">
            <w:r>
              <w:t xml:space="preserve">Le </w:t>
            </w:r>
            <w:r w:rsidR="00C360DD">
              <w:t>5 décembre</w:t>
            </w:r>
            <w:r>
              <w:t xml:space="preserve"> 2024</w:t>
            </w:r>
          </w:p>
        </w:tc>
        <w:tc>
          <w:tcPr>
            <w:tcW w:w="381" w:type="pct"/>
          </w:tcPr>
          <w:p w14:paraId="05108007" w14:textId="77777777" w:rsidR="00417FB7" w:rsidRPr="001E26DB" w:rsidRDefault="00417FB7" w:rsidP="00382FEC"/>
        </w:tc>
        <w:tc>
          <w:tcPr>
            <w:tcW w:w="2350" w:type="pct"/>
          </w:tcPr>
          <w:p w14:paraId="650C312E" w14:textId="77777777" w:rsidR="00417FB7" w:rsidRPr="001E26DB" w:rsidRDefault="00C360DD" w:rsidP="0027081E">
            <w:pPr>
              <w:rPr>
                <w:lang w:val="en-CA"/>
              </w:rPr>
            </w:pPr>
            <w:r>
              <w:t>December 5</w:t>
            </w:r>
            <w:r w:rsidR="0062554E">
              <w:t>, 2024</w:t>
            </w:r>
          </w:p>
        </w:tc>
      </w:tr>
      <w:tr w:rsidR="00C2612E" w:rsidRPr="0062554E" w14:paraId="32052629" w14:textId="77777777" w:rsidTr="00A46E1B">
        <w:tc>
          <w:tcPr>
            <w:tcW w:w="2269" w:type="pct"/>
            <w:tcMar>
              <w:top w:w="0" w:type="dxa"/>
              <w:bottom w:w="0" w:type="dxa"/>
            </w:tcMar>
          </w:tcPr>
          <w:p w14:paraId="49FB9B73" w14:textId="77777777" w:rsidR="00C2612E" w:rsidRPr="00622562" w:rsidRDefault="00C2612E" w:rsidP="008262A3">
            <w:pPr>
              <w:rPr>
                <w:lang w:val="en-US"/>
              </w:rPr>
            </w:pPr>
          </w:p>
        </w:tc>
        <w:tc>
          <w:tcPr>
            <w:tcW w:w="381" w:type="pct"/>
            <w:tcMar>
              <w:top w:w="0" w:type="dxa"/>
              <w:bottom w:w="0" w:type="dxa"/>
            </w:tcMar>
          </w:tcPr>
          <w:p w14:paraId="54875B8D" w14:textId="77777777" w:rsidR="00C2612E" w:rsidRPr="00622562" w:rsidRDefault="00C2612E" w:rsidP="00382FEC">
            <w:pPr>
              <w:rPr>
                <w:lang w:val="en-US"/>
              </w:rPr>
            </w:pPr>
          </w:p>
        </w:tc>
        <w:tc>
          <w:tcPr>
            <w:tcW w:w="2350" w:type="pct"/>
            <w:tcMar>
              <w:top w:w="0" w:type="dxa"/>
              <w:bottom w:w="0" w:type="dxa"/>
            </w:tcMar>
          </w:tcPr>
          <w:p w14:paraId="67D002B7" w14:textId="77777777" w:rsidR="00C2612E" w:rsidRPr="001E26DB" w:rsidRDefault="00C2612E" w:rsidP="00382FEC">
            <w:pPr>
              <w:rPr>
                <w:lang w:val="en-CA"/>
              </w:rPr>
            </w:pPr>
          </w:p>
        </w:tc>
      </w:tr>
      <w:tr w:rsidR="00824412" w:rsidRPr="0062554E" w14:paraId="624E5E47" w14:textId="77777777" w:rsidTr="006A1E6D">
        <w:tc>
          <w:tcPr>
            <w:tcW w:w="2269" w:type="pct"/>
          </w:tcPr>
          <w:p w14:paraId="2D133A0B" w14:textId="77777777" w:rsidR="004C4B45" w:rsidRDefault="00C360DD">
            <w:pPr>
              <w:pStyle w:val="SCCLsocPrefix"/>
            </w:pPr>
            <w:r>
              <w:t>ENTRE :</w:t>
            </w:r>
          </w:p>
          <w:p w14:paraId="3B2FF078" w14:textId="77777777" w:rsidR="004D2F1C" w:rsidRPr="004D2F1C" w:rsidRDefault="004D2F1C" w:rsidP="00C64693"/>
          <w:p w14:paraId="55A68399" w14:textId="72F2CC0D" w:rsidR="004C4B45" w:rsidRDefault="00C360DD">
            <w:pPr>
              <w:pStyle w:val="SCCLsocParty"/>
            </w:pPr>
            <w:r>
              <w:t>Justice pour le Québec, Frédéric Bastien, Institut de recherche sur l’autodétermination des peuples et les indépendances nationales (IRAI), Daniel Turp, Association de défense des droits individuels et collectifs du Québec (ADDICQ)</w:t>
            </w:r>
            <w:r w:rsidR="004D2F1C">
              <w:t xml:space="preserve"> et</w:t>
            </w:r>
            <w:r>
              <w:t xml:space="preserve"> Etienne-Alexis Boucher</w:t>
            </w:r>
            <w:r>
              <w:br/>
            </w:r>
          </w:p>
          <w:p w14:paraId="701368FC" w14:textId="77777777" w:rsidR="004C4B45" w:rsidRDefault="00C360DD">
            <w:pPr>
              <w:pStyle w:val="SCCLsocPartyRole"/>
            </w:pPr>
            <w:r>
              <w:t>Demandeurs</w:t>
            </w:r>
            <w:r>
              <w:br/>
            </w:r>
          </w:p>
          <w:p w14:paraId="33AF74AC" w14:textId="77777777" w:rsidR="004C4B45" w:rsidRDefault="00C360DD">
            <w:pPr>
              <w:pStyle w:val="SCCLsocVersus"/>
            </w:pPr>
            <w:r>
              <w:t>- et -</w:t>
            </w:r>
          </w:p>
          <w:p w14:paraId="6D1BBE54" w14:textId="77777777" w:rsidR="004C4B45" w:rsidRDefault="004C4B45"/>
          <w:p w14:paraId="5C61802B" w14:textId="5BE835EE" w:rsidR="004C4B45" w:rsidRDefault="00C360DD">
            <w:pPr>
              <w:pStyle w:val="SCCLsocParty"/>
            </w:pPr>
            <w:r>
              <w:t xml:space="preserve">Procureur général du Canada </w:t>
            </w:r>
            <w:r w:rsidR="004D2F1C">
              <w:t xml:space="preserve">et </w:t>
            </w:r>
            <w:r w:rsidR="00990B91">
              <w:t>p</w:t>
            </w:r>
            <w:r>
              <w:t>rocureur général du Québec</w:t>
            </w:r>
            <w:r>
              <w:br/>
            </w:r>
          </w:p>
          <w:p w14:paraId="237EE1F1" w14:textId="77777777" w:rsidR="004C4B45" w:rsidRDefault="00C360DD">
            <w:pPr>
              <w:pStyle w:val="SCCLsocPartyRole"/>
            </w:pPr>
            <w:r>
              <w:t>Intimés</w:t>
            </w:r>
          </w:p>
        </w:tc>
        <w:tc>
          <w:tcPr>
            <w:tcW w:w="381" w:type="pct"/>
          </w:tcPr>
          <w:p w14:paraId="55AE98BE" w14:textId="77777777" w:rsidR="00824412" w:rsidRPr="00C64693" w:rsidRDefault="00824412" w:rsidP="00375294"/>
        </w:tc>
        <w:tc>
          <w:tcPr>
            <w:tcW w:w="2350" w:type="pct"/>
          </w:tcPr>
          <w:p w14:paraId="2E4B61BC" w14:textId="77777777" w:rsidR="004C4B45" w:rsidRDefault="00C360DD">
            <w:pPr>
              <w:pStyle w:val="SCCLsocPrefix"/>
            </w:pPr>
            <w:r>
              <w:t>BETWEEN:</w:t>
            </w:r>
          </w:p>
          <w:p w14:paraId="3929056F" w14:textId="77777777" w:rsidR="004D2F1C" w:rsidRPr="004D2F1C" w:rsidRDefault="004D2F1C" w:rsidP="00C64693"/>
          <w:p w14:paraId="1CF146BC" w14:textId="7669DA5A" w:rsidR="004C4B45" w:rsidRDefault="00C360DD">
            <w:pPr>
              <w:pStyle w:val="SCCLsocParty"/>
            </w:pPr>
            <w:r>
              <w:t>Justice pour le Québec, Frédéric Bastien, Institut de recherche sur l’autodétermination des peuples et les indépendances nationales (IRAI), Daniel Turp, Association de défense des droits individuels et collectifs du Québec (ADDICQ)</w:t>
            </w:r>
            <w:r w:rsidR="004D2F1C">
              <w:t xml:space="preserve"> and </w:t>
            </w:r>
            <w:r>
              <w:t>Etienne-Alexis Boucher</w:t>
            </w:r>
            <w:r>
              <w:br/>
            </w:r>
          </w:p>
          <w:p w14:paraId="6F33612D" w14:textId="77777777" w:rsidR="004C4B45" w:rsidRPr="00C360DD" w:rsidRDefault="00C360DD">
            <w:pPr>
              <w:pStyle w:val="SCCLsocPartyRole"/>
              <w:rPr>
                <w:lang w:val="en-US"/>
              </w:rPr>
            </w:pPr>
            <w:r w:rsidRPr="00C360DD">
              <w:rPr>
                <w:lang w:val="en-US"/>
              </w:rPr>
              <w:t>Applicants</w:t>
            </w:r>
            <w:r w:rsidRPr="00C360DD">
              <w:rPr>
                <w:lang w:val="en-US"/>
              </w:rPr>
              <w:br/>
            </w:r>
          </w:p>
          <w:p w14:paraId="2123F51C" w14:textId="77777777" w:rsidR="004C4B45" w:rsidRPr="00C360DD" w:rsidRDefault="00C360DD">
            <w:pPr>
              <w:pStyle w:val="SCCLsocVersus"/>
              <w:rPr>
                <w:lang w:val="en-US"/>
              </w:rPr>
            </w:pPr>
            <w:r w:rsidRPr="00C360DD">
              <w:rPr>
                <w:lang w:val="en-US"/>
              </w:rPr>
              <w:t>- and -</w:t>
            </w:r>
          </w:p>
          <w:p w14:paraId="7B7EED17" w14:textId="77777777" w:rsidR="004C4B45" w:rsidRPr="00C360DD" w:rsidRDefault="004C4B45">
            <w:pPr>
              <w:rPr>
                <w:lang w:val="en-US"/>
              </w:rPr>
            </w:pPr>
          </w:p>
          <w:p w14:paraId="4F5A74DB" w14:textId="55EAA84E" w:rsidR="004C4B45" w:rsidRPr="00C360DD" w:rsidRDefault="00C360DD">
            <w:pPr>
              <w:pStyle w:val="SCCLsocParty"/>
              <w:rPr>
                <w:lang w:val="en-US"/>
              </w:rPr>
            </w:pPr>
            <w:r w:rsidRPr="00C360DD">
              <w:rPr>
                <w:lang w:val="en-US"/>
              </w:rPr>
              <w:t>Attorney General of Canada</w:t>
            </w:r>
            <w:r w:rsidR="004D2F1C">
              <w:rPr>
                <w:lang w:val="en-US"/>
              </w:rPr>
              <w:t xml:space="preserve"> and </w:t>
            </w:r>
            <w:r w:rsidRPr="00C360DD">
              <w:rPr>
                <w:lang w:val="en-US"/>
              </w:rPr>
              <w:t>Attorney General of Québec</w:t>
            </w:r>
            <w:r w:rsidRPr="00C360DD">
              <w:rPr>
                <w:lang w:val="en-US"/>
              </w:rPr>
              <w:br/>
            </w:r>
          </w:p>
          <w:p w14:paraId="5C41C5CE" w14:textId="77777777" w:rsidR="004C4B45" w:rsidRDefault="00C360DD">
            <w:pPr>
              <w:pStyle w:val="SCCLsocPartyRole"/>
            </w:pPr>
            <w:r>
              <w:t>Respondents</w:t>
            </w:r>
          </w:p>
        </w:tc>
      </w:tr>
      <w:tr w:rsidR="00824412" w:rsidRPr="0062554E" w14:paraId="44CA6A69" w14:textId="77777777" w:rsidTr="00F67F03">
        <w:tc>
          <w:tcPr>
            <w:tcW w:w="2269" w:type="pct"/>
            <w:tcMar>
              <w:top w:w="0" w:type="dxa"/>
              <w:bottom w:w="0" w:type="dxa"/>
            </w:tcMar>
          </w:tcPr>
          <w:p w14:paraId="7383BFF4" w14:textId="77777777" w:rsidR="00824412" w:rsidRPr="00961003" w:rsidRDefault="00824412" w:rsidP="00375294">
            <w:pPr>
              <w:rPr>
                <w:lang w:val="en-CA"/>
              </w:rPr>
            </w:pPr>
          </w:p>
        </w:tc>
        <w:tc>
          <w:tcPr>
            <w:tcW w:w="381" w:type="pct"/>
            <w:tcMar>
              <w:top w:w="0" w:type="dxa"/>
              <w:bottom w:w="0" w:type="dxa"/>
            </w:tcMar>
          </w:tcPr>
          <w:p w14:paraId="2067DEA4" w14:textId="77777777" w:rsidR="00824412" w:rsidRPr="002C29B6" w:rsidRDefault="00824412" w:rsidP="00375294">
            <w:pPr>
              <w:rPr>
                <w:lang w:val="en-US"/>
              </w:rPr>
            </w:pPr>
          </w:p>
        </w:tc>
        <w:tc>
          <w:tcPr>
            <w:tcW w:w="2350" w:type="pct"/>
            <w:tcMar>
              <w:top w:w="0" w:type="dxa"/>
              <w:bottom w:w="0" w:type="dxa"/>
            </w:tcMar>
          </w:tcPr>
          <w:p w14:paraId="4BD4FBBD" w14:textId="77777777" w:rsidR="00824412" w:rsidRPr="001E26DB" w:rsidRDefault="00824412" w:rsidP="00B408F8">
            <w:pPr>
              <w:rPr>
                <w:lang w:val="en-CA"/>
              </w:rPr>
            </w:pPr>
          </w:p>
        </w:tc>
      </w:tr>
      <w:tr w:rsidR="00824412" w:rsidRPr="00C64693" w14:paraId="599CF4C8" w14:textId="77777777" w:rsidTr="00B37A52">
        <w:tc>
          <w:tcPr>
            <w:tcW w:w="2269" w:type="pct"/>
          </w:tcPr>
          <w:p w14:paraId="24611570" w14:textId="77777777" w:rsidR="0027081E" w:rsidRPr="001E26DB" w:rsidRDefault="0027081E" w:rsidP="0027081E">
            <w:pPr>
              <w:jc w:val="center"/>
            </w:pPr>
            <w:r w:rsidRPr="001E26DB">
              <w:t>JUGEMENT</w:t>
            </w:r>
          </w:p>
          <w:p w14:paraId="3B80349E" w14:textId="77777777" w:rsidR="0027081E" w:rsidRPr="001E26DB" w:rsidRDefault="0027081E" w:rsidP="0027081E">
            <w:pPr>
              <w:jc w:val="center"/>
            </w:pPr>
          </w:p>
          <w:p w14:paraId="406F5D73" w14:textId="77777777" w:rsidR="00622562" w:rsidRPr="001E26DB" w:rsidRDefault="0027081E" w:rsidP="00C360DD">
            <w:pPr>
              <w:jc w:val="both"/>
            </w:pPr>
            <w:r w:rsidRPr="001E26DB">
              <w:t xml:space="preserve">La demande d’autorisation d’appel de l’arrêt de la </w:t>
            </w:r>
            <w:r>
              <w:t>Cour d’appel du Québec (Montréal)</w:t>
            </w:r>
            <w:r w:rsidRPr="001E26DB">
              <w:t xml:space="preserve">, numéro </w:t>
            </w:r>
            <w:r>
              <w:t xml:space="preserve">500-09-030708-234, </w:t>
            </w:r>
            <w:hyperlink r:id="rId9">
              <w:r w:rsidRPr="00C64693">
                <w:rPr>
                  <w:rStyle w:val="Hyperlink"/>
                  <w:color w:val="auto"/>
                  <w:u w:val="none"/>
                </w:rPr>
                <w:t>2024 QCCA 380</w:t>
              </w:r>
            </w:hyperlink>
            <w:r w:rsidRPr="001E26DB">
              <w:t xml:space="preserve">, daté du </w:t>
            </w:r>
            <w:r>
              <w:t>28 mars 2024</w:t>
            </w:r>
            <w:r w:rsidRPr="001E26DB">
              <w:t xml:space="preserve">, est </w:t>
            </w:r>
            <w:r w:rsidR="00C360DD">
              <w:t>rejetée avec dépens en faveur du procureur général du Canada</w:t>
            </w:r>
            <w:r w:rsidRPr="001E26DB">
              <w:t>.</w:t>
            </w:r>
          </w:p>
        </w:tc>
        <w:tc>
          <w:tcPr>
            <w:tcW w:w="381" w:type="pct"/>
          </w:tcPr>
          <w:p w14:paraId="0B60ECA2" w14:textId="77777777" w:rsidR="00824412" w:rsidRPr="001E26DB" w:rsidRDefault="00824412" w:rsidP="00417FB7">
            <w:pPr>
              <w:jc w:val="center"/>
            </w:pPr>
          </w:p>
        </w:tc>
        <w:tc>
          <w:tcPr>
            <w:tcW w:w="2350" w:type="pct"/>
          </w:tcPr>
          <w:p w14:paraId="2062ACE3" w14:textId="77777777" w:rsidR="0027081E" w:rsidRPr="001E26DB" w:rsidRDefault="0027081E" w:rsidP="0027081E">
            <w:pPr>
              <w:jc w:val="center"/>
              <w:rPr>
                <w:lang w:val="en-CA"/>
              </w:rPr>
            </w:pPr>
            <w:r w:rsidRPr="001E26DB">
              <w:rPr>
                <w:lang w:val="en-CA"/>
              </w:rPr>
              <w:t>JUDGMENT</w:t>
            </w:r>
          </w:p>
          <w:p w14:paraId="048F567D" w14:textId="77777777" w:rsidR="0027081E" w:rsidRPr="001E26DB" w:rsidRDefault="0027081E" w:rsidP="0027081E">
            <w:pPr>
              <w:jc w:val="center"/>
              <w:rPr>
                <w:lang w:val="en-CA"/>
              </w:rPr>
            </w:pPr>
          </w:p>
          <w:p w14:paraId="09F59A9B" w14:textId="3C499096" w:rsidR="00824412" w:rsidRDefault="0027081E" w:rsidP="006C1359">
            <w:pPr>
              <w:jc w:val="both"/>
              <w:rPr>
                <w:lang w:val="en-CA"/>
              </w:rPr>
            </w:pPr>
            <w:r w:rsidRPr="001E26DB">
              <w:rPr>
                <w:lang w:val="en-CA"/>
              </w:rPr>
              <w:t>The application for leave to appeal from the judgment of the</w:t>
            </w:r>
            <w:bookmarkStart w:id="1" w:name="BM_1_"/>
            <w:bookmarkEnd w:id="1"/>
            <w:r w:rsidRPr="001E26DB">
              <w:rPr>
                <w:lang w:val="en-CA"/>
              </w:rPr>
              <w:t xml:space="preserve"> </w:t>
            </w:r>
            <w:r w:rsidRPr="00C360DD">
              <w:rPr>
                <w:lang w:val="en-US"/>
              </w:rPr>
              <w:t>Court of Appeal of Quebec (Montréal)</w:t>
            </w:r>
            <w:r w:rsidRPr="001E26DB">
              <w:rPr>
                <w:lang w:val="en-CA"/>
              </w:rPr>
              <w:t xml:space="preserve">, Number </w:t>
            </w:r>
            <w:r w:rsidRPr="00C360DD">
              <w:rPr>
                <w:lang w:val="en-US"/>
              </w:rPr>
              <w:t xml:space="preserve">500-09-030708-234, </w:t>
            </w:r>
            <w:hyperlink r:id="rId10">
              <w:r w:rsidRPr="00C64693">
                <w:rPr>
                  <w:rStyle w:val="Hyperlink"/>
                  <w:color w:val="auto"/>
                  <w:u w:val="none"/>
                  <w:lang w:val="en-US"/>
                </w:rPr>
                <w:t>2024 QCCA 380</w:t>
              </w:r>
            </w:hyperlink>
            <w:r w:rsidRPr="001E26DB">
              <w:rPr>
                <w:lang w:val="en-CA"/>
              </w:rPr>
              <w:t xml:space="preserve">, dated </w:t>
            </w:r>
            <w:r w:rsidRPr="00C360DD">
              <w:rPr>
                <w:lang w:val="en-US"/>
              </w:rPr>
              <w:t>March 28, 2024</w:t>
            </w:r>
            <w:r w:rsidR="004D2F1C">
              <w:rPr>
                <w:lang w:val="en-US"/>
              </w:rPr>
              <w:t>,</w:t>
            </w:r>
            <w:r w:rsidRPr="001E26DB">
              <w:rPr>
                <w:lang w:val="en-CA"/>
              </w:rPr>
              <w:t xml:space="preserve"> is </w:t>
            </w:r>
            <w:r w:rsidR="00C360DD">
              <w:rPr>
                <w:lang w:val="en-CA"/>
              </w:rPr>
              <w:t>dismissed with costs to the Attorney General of Canada.</w:t>
            </w:r>
            <w:r w:rsidR="00011960" w:rsidRPr="001E26DB">
              <w:rPr>
                <w:lang w:val="en-CA"/>
              </w:rPr>
              <w:t xml:space="preserve"> </w:t>
            </w:r>
          </w:p>
          <w:p w14:paraId="2E38F1B2" w14:textId="77777777" w:rsidR="00622562" w:rsidRPr="00622562" w:rsidRDefault="00622562" w:rsidP="006C1359">
            <w:pPr>
              <w:jc w:val="both"/>
              <w:rPr>
                <w:lang w:val="en-US"/>
              </w:rPr>
            </w:pPr>
          </w:p>
        </w:tc>
      </w:tr>
    </w:tbl>
    <w:p w14:paraId="7567828E" w14:textId="77777777" w:rsidR="009F436C" w:rsidRPr="002C29B6" w:rsidRDefault="009F436C" w:rsidP="00417FB7">
      <w:pPr>
        <w:jc w:val="center"/>
        <w:rPr>
          <w:lang w:val="en-US"/>
        </w:rPr>
      </w:pPr>
    </w:p>
    <w:p w14:paraId="1F0882FD" w14:textId="77777777" w:rsidR="009F436C" w:rsidRDefault="009F436C" w:rsidP="00417FB7">
      <w:pPr>
        <w:jc w:val="center"/>
        <w:rPr>
          <w:lang w:val="en-US"/>
        </w:rPr>
      </w:pPr>
    </w:p>
    <w:p w14:paraId="21B8BE61" w14:textId="77777777" w:rsidR="0098086B" w:rsidRPr="002C29B6" w:rsidRDefault="0098086B" w:rsidP="00417FB7">
      <w:pPr>
        <w:jc w:val="center"/>
        <w:rPr>
          <w:lang w:val="en-US"/>
        </w:rPr>
      </w:pPr>
    </w:p>
    <w:p w14:paraId="2495F210" w14:textId="77777777" w:rsidR="00655333" w:rsidRPr="00C360DD" w:rsidRDefault="00655333" w:rsidP="00655333">
      <w:pPr>
        <w:jc w:val="center"/>
        <w:rPr>
          <w:lang w:val="en-US"/>
        </w:rPr>
      </w:pPr>
      <w:r w:rsidRPr="00C360DD">
        <w:rPr>
          <w:lang w:val="en-US"/>
        </w:rPr>
        <w:t>J.C.C.</w:t>
      </w:r>
    </w:p>
    <w:p w14:paraId="27741499" w14:textId="77777777" w:rsidR="00655333" w:rsidRPr="00C360DD" w:rsidRDefault="00655333" w:rsidP="00C360DD">
      <w:pPr>
        <w:jc w:val="center"/>
        <w:rPr>
          <w:lang w:val="en-US"/>
        </w:rPr>
      </w:pPr>
      <w:r w:rsidRPr="00C360DD">
        <w:rPr>
          <w:lang w:val="en-US"/>
        </w:rPr>
        <w:t>C.J.C.</w:t>
      </w:r>
    </w:p>
    <w:sectPr w:rsidR="00655333" w:rsidRPr="00C360DD" w:rsidSect="00C64693">
      <w:headerReference w:type="default" r:id="rId11"/>
      <w:headerReference w:type="first" r:id="rId12"/>
      <w:type w:val="continuous"/>
      <w:pgSz w:w="12240" w:h="15840"/>
      <w:pgMar w:top="720" w:right="1440" w:bottom="720" w:left="1440" w:header="1247"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3B358" w14:textId="77777777" w:rsidR="00D27D4E" w:rsidRDefault="00D27D4E">
      <w:r>
        <w:separator/>
      </w:r>
    </w:p>
  </w:endnote>
  <w:endnote w:type="continuationSeparator" w:id="0">
    <w:p w14:paraId="3EC40053" w14:textId="77777777" w:rsidR="00D27D4E" w:rsidRDefault="00D2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8E3B2" w14:textId="77777777" w:rsidR="00D27D4E" w:rsidRDefault="00D27D4E">
      <w:r>
        <w:separator/>
      </w:r>
    </w:p>
  </w:footnote>
  <w:footnote w:type="continuationSeparator" w:id="0">
    <w:p w14:paraId="3FF40DD6" w14:textId="77777777" w:rsidR="00D27D4E" w:rsidRDefault="00D27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50B8" w14:textId="77777777" w:rsidR="00401B64" w:rsidRDefault="00401B64" w:rsidP="00401B64">
    <w:pPr>
      <w:tabs>
        <w:tab w:val="center" w:pos="4680"/>
      </w:tabs>
      <w:jc w:val="center"/>
      <w:rPr>
        <w:szCs w:val="24"/>
      </w:rPr>
    </w:pPr>
    <w:r>
      <w:rPr>
        <w:szCs w:val="24"/>
      </w:rPr>
      <w:t xml:space="preserve">- </w:t>
    </w:r>
    <w:r w:rsidR="00990F06" w:rsidRPr="00417FB7">
      <w:rPr>
        <w:szCs w:val="24"/>
      </w:rPr>
      <w:fldChar w:fldCharType="begin"/>
    </w:r>
    <w:r w:rsidRPr="00417FB7">
      <w:rPr>
        <w:szCs w:val="24"/>
      </w:rPr>
      <w:instrText xml:space="preserve"> PAGE   \* MERGEFORMAT </w:instrText>
    </w:r>
    <w:r w:rsidR="00990F06" w:rsidRPr="00417FB7">
      <w:rPr>
        <w:szCs w:val="24"/>
      </w:rPr>
      <w:fldChar w:fldCharType="separate"/>
    </w:r>
    <w:r w:rsidR="00C64693">
      <w:rPr>
        <w:noProof/>
        <w:szCs w:val="24"/>
      </w:rPr>
      <w:t>2</w:t>
    </w:r>
    <w:r w:rsidR="00990F06" w:rsidRPr="00417FB7">
      <w:rPr>
        <w:szCs w:val="24"/>
      </w:rPr>
      <w:fldChar w:fldCharType="end"/>
    </w:r>
    <w:r>
      <w:rPr>
        <w:szCs w:val="24"/>
      </w:rPr>
      <w:t xml:space="preserve"> -</w:t>
    </w:r>
  </w:p>
  <w:p w14:paraId="65DD7AE2" w14:textId="77777777" w:rsidR="00401B64" w:rsidRDefault="00401B64" w:rsidP="00401B64">
    <w:pPr>
      <w:rPr>
        <w:szCs w:val="24"/>
      </w:rPr>
    </w:pPr>
  </w:p>
  <w:p w14:paraId="7CC01A59" w14:textId="77777777" w:rsidR="00401B64" w:rsidRDefault="00401B64" w:rsidP="00401B64">
    <w:pPr>
      <w:rPr>
        <w:szCs w:val="24"/>
      </w:rPr>
    </w:pPr>
  </w:p>
  <w:p w14:paraId="70BFB7E6" w14:textId="77777777" w:rsidR="00401B64" w:rsidRDefault="00BD2A96" w:rsidP="00401B64">
    <w:pPr>
      <w:tabs>
        <w:tab w:val="right" w:pos="9360"/>
      </w:tabs>
      <w:jc w:val="right"/>
      <w:rPr>
        <w:szCs w:val="24"/>
      </w:rPr>
    </w:pPr>
    <w:r>
      <w:rPr>
        <w:szCs w:val="24"/>
      </w:rPr>
      <w:t>N</w:t>
    </w:r>
    <w:r>
      <w:rPr>
        <w:szCs w:val="24"/>
        <w:vertAlign w:val="superscript"/>
      </w:rPr>
      <w:t>o</w:t>
    </w:r>
    <w:r w:rsidR="00401B64">
      <w:rPr>
        <w:szCs w:val="24"/>
      </w:rPr>
      <w:t xml:space="preserve"> </w:t>
    </w:r>
    <w:r>
      <w:t>41303</w:t>
    </w:r>
    <w:r w:rsidR="00401B64">
      <w:rPr>
        <w:szCs w:val="24"/>
      </w:rPr>
      <w:t>     </w:t>
    </w:r>
  </w:p>
  <w:p w14:paraId="05FEDE3B" w14:textId="77777777" w:rsidR="00401B64" w:rsidRDefault="00401B64" w:rsidP="00401B64">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973782"/>
      <w:lock w:val="sdtContentLocked"/>
      <w:showingPlcHdr/>
      <w:text/>
    </w:sdtPr>
    <w:sdtEndPr/>
    <w:sdtContent>
      <w:p w14:paraId="259DEB06" w14:textId="77777777" w:rsidR="000452C9" w:rsidRDefault="000452C9" w:rsidP="000452C9"/>
      <w:p w14:paraId="364E1BB9" w14:textId="77777777" w:rsidR="000452C9" w:rsidRPr="001E26DB" w:rsidRDefault="000452C9" w:rsidP="000452C9"/>
      <w:p w14:paraId="6D8A5A2D" w14:textId="77777777" w:rsidR="000452C9" w:rsidRPr="001E26DB" w:rsidRDefault="000452C9" w:rsidP="000452C9"/>
      <w:p w14:paraId="6FB2659C" w14:textId="77777777" w:rsidR="000452C9" w:rsidRDefault="000452C9" w:rsidP="000452C9"/>
      <w:p w14:paraId="29F0F5DA" w14:textId="77777777" w:rsidR="000452C9" w:rsidRDefault="000452C9" w:rsidP="000452C9"/>
      <w:p w14:paraId="1C14807E" w14:textId="77777777" w:rsidR="000452C9" w:rsidRDefault="000452C9" w:rsidP="000452C9"/>
      <w:p w14:paraId="59922283" w14:textId="77777777" w:rsidR="000452C9" w:rsidRDefault="000452C9" w:rsidP="000452C9"/>
      <w:p w14:paraId="5642D308" w14:textId="77777777" w:rsidR="000452C9" w:rsidRPr="001E26DB" w:rsidRDefault="000452C9" w:rsidP="000452C9"/>
      <w:p w14:paraId="5CA6B2C5" w14:textId="77777777" w:rsidR="000452C9" w:rsidRPr="001E26DB" w:rsidRDefault="000452C9" w:rsidP="000452C9"/>
      <w:p w14:paraId="022519BE" w14:textId="77777777" w:rsidR="000452C9" w:rsidRDefault="000452C9" w:rsidP="000452C9">
        <w:pPr>
          <w:pStyle w:val="Header"/>
        </w:pPr>
      </w:p>
      <w:p w14:paraId="64595042" w14:textId="77777777" w:rsidR="001D6D96" w:rsidRPr="000452C9" w:rsidRDefault="00117B06" w:rsidP="000452C9">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4E"/>
    <w:rsid w:val="0000528B"/>
    <w:rsid w:val="00011960"/>
    <w:rsid w:val="00014928"/>
    <w:rsid w:val="0002577E"/>
    <w:rsid w:val="0003701B"/>
    <w:rsid w:val="0004338D"/>
    <w:rsid w:val="000452C9"/>
    <w:rsid w:val="00057FAF"/>
    <w:rsid w:val="00061CAE"/>
    <w:rsid w:val="0006409D"/>
    <w:rsid w:val="000919B4"/>
    <w:rsid w:val="000978C2"/>
    <w:rsid w:val="000B76FF"/>
    <w:rsid w:val="000D7521"/>
    <w:rsid w:val="000E4CCE"/>
    <w:rsid w:val="000F44E1"/>
    <w:rsid w:val="00117B06"/>
    <w:rsid w:val="00130C0B"/>
    <w:rsid w:val="0019299E"/>
    <w:rsid w:val="001947C4"/>
    <w:rsid w:val="00195E00"/>
    <w:rsid w:val="001A1CE1"/>
    <w:rsid w:val="001D0116"/>
    <w:rsid w:val="001D4323"/>
    <w:rsid w:val="001D6D96"/>
    <w:rsid w:val="001E26DB"/>
    <w:rsid w:val="002030E6"/>
    <w:rsid w:val="00203642"/>
    <w:rsid w:val="00215653"/>
    <w:rsid w:val="0027081E"/>
    <w:rsid w:val="002B5FA6"/>
    <w:rsid w:val="002C29B6"/>
    <w:rsid w:val="0031097F"/>
    <w:rsid w:val="0031165C"/>
    <w:rsid w:val="00311ACE"/>
    <w:rsid w:val="003174AD"/>
    <w:rsid w:val="0032281B"/>
    <w:rsid w:val="00374E7D"/>
    <w:rsid w:val="00375294"/>
    <w:rsid w:val="00382FEC"/>
    <w:rsid w:val="00385A90"/>
    <w:rsid w:val="003A37CF"/>
    <w:rsid w:val="003B1F3D"/>
    <w:rsid w:val="003B7760"/>
    <w:rsid w:val="003C744C"/>
    <w:rsid w:val="003D7CE6"/>
    <w:rsid w:val="00401B64"/>
    <w:rsid w:val="00414694"/>
    <w:rsid w:val="0041775C"/>
    <w:rsid w:val="00417FB7"/>
    <w:rsid w:val="00430004"/>
    <w:rsid w:val="00474535"/>
    <w:rsid w:val="004943CF"/>
    <w:rsid w:val="004956DA"/>
    <w:rsid w:val="004C4B45"/>
    <w:rsid w:val="004D2F1C"/>
    <w:rsid w:val="004F63BA"/>
    <w:rsid w:val="00504B7F"/>
    <w:rsid w:val="00524C94"/>
    <w:rsid w:val="00563E2C"/>
    <w:rsid w:val="005873F3"/>
    <w:rsid w:val="00587869"/>
    <w:rsid w:val="005918AD"/>
    <w:rsid w:val="005B69C9"/>
    <w:rsid w:val="00614908"/>
    <w:rsid w:val="00622562"/>
    <w:rsid w:val="0062554E"/>
    <w:rsid w:val="0064672C"/>
    <w:rsid w:val="006475C8"/>
    <w:rsid w:val="00650109"/>
    <w:rsid w:val="00655333"/>
    <w:rsid w:val="006935F7"/>
    <w:rsid w:val="006A1E6D"/>
    <w:rsid w:val="006C1359"/>
    <w:rsid w:val="006C2D2F"/>
    <w:rsid w:val="006F1DF9"/>
    <w:rsid w:val="00701109"/>
    <w:rsid w:val="007372EA"/>
    <w:rsid w:val="0076003F"/>
    <w:rsid w:val="0079129C"/>
    <w:rsid w:val="007919AE"/>
    <w:rsid w:val="007A54CC"/>
    <w:rsid w:val="007B340F"/>
    <w:rsid w:val="007F41D5"/>
    <w:rsid w:val="00816B78"/>
    <w:rsid w:val="00823BF1"/>
    <w:rsid w:val="00824412"/>
    <w:rsid w:val="008262A3"/>
    <w:rsid w:val="00830BBE"/>
    <w:rsid w:val="0086042A"/>
    <w:rsid w:val="008813BC"/>
    <w:rsid w:val="008A153F"/>
    <w:rsid w:val="008A78BE"/>
    <w:rsid w:val="008B5590"/>
    <w:rsid w:val="008D6351"/>
    <w:rsid w:val="008F4A07"/>
    <w:rsid w:val="00951EF6"/>
    <w:rsid w:val="00961003"/>
    <w:rsid w:val="0096638C"/>
    <w:rsid w:val="00971A08"/>
    <w:rsid w:val="0098086B"/>
    <w:rsid w:val="00990B91"/>
    <w:rsid w:val="00990F06"/>
    <w:rsid w:val="00995343"/>
    <w:rsid w:val="009D45DF"/>
    <w:rsid w:val="009E010A"/>
    <w:rsid w:val="009E0F71"/>
    <w:rsid w:val="009E664B"/>
    <w:rsid w:val="009E7A46"/>
    <w:rsid w:val="009F436C"/>
    <w:rsid w:val="00A03153"/>
    <w:rsid w:val="00A103E3"/>
    <w:rsid w:val="00A14904"/>
    <w:rsid w:val="00A15DFC"/>
    <w:rsid w:val="00A46E1B"/>
    <w:rsid w:val="00AB5E22"/>
    <w:rsid w:val="00AE2077"/>
    <w:rsid w:val="00AF1D29"/>
    <w:rsid w:val="00B37A52"/>
    <w:rsid w:val="00B37AA5"/>
    <w:rsid w:val="00B408F8"/>
    <w:rsid w:val="00B41C8D"/>
    <w:rsid w:val="00B5078E"/>
    <w:rsid w:val="00B60EDC"/>
    <w:rsid w:val="00B81CED"/>
    <w:rsid w:val="00BA7D71"/>
    <w:rsid w:val="00BD2A96"/>
    <w:rsid w:val="00BF682C"/>
    <w:rsid w:val="00BF7644"/>
    <w:rsid w:val="00C03E8E"/>
    <w:rsid w:val="00C2612E"/>
    <w:rsid w:val="00C360DD"/>
    <w:rsid w:val="00C609B7"/>
    <w:rsid w:val="00C64693"/>
    <w:rsid w:val="00CF2E5D"/>
    <w:rsid w:val="00D047BE"/>
    <w:rsid w:val="00D26BFF"/>
    <w:rsid w:val="00D27D4E"/>
    <w:rsid w:val="00D42339"/>
    <w:rsid w:val="00D61AC2"/>
    <w:rsid w:val="00D652D6"/>
    <w:rsid w:val="00DA5FEF"/>
    <w:rsid w:val="00DE063A"/>
    <w:rsid w:val="00E01893"/>
    <w:rsid w:val="00E12A51"/>
    <w:rsid w:val="00E600ED"/>
    <w:rsid w:val="00E777AD"/>
    <w:rsid w:val="00E81C0B"/>
    <w:rsid w:val="00EA4B61"/>
    <w:rsid w:val="00EF4EF2"/>
    <w:rsid w:val="00F06BF6"/>
    <w:rsid w:val="00F1759D"/>
    <w:rsid w:val="00F4094A"/>
    <w:rsid w:val="00F40FBF"/>
    <w:rsid w:val="00F47372"/>
    <w:rsid w:val="00F5034C"/>
    <w:rsid w:val="00F67F03"/>
    <w:rsid w:val="00F70D4F"/>
    <w:rsid w:val="00F76E97"/>
    <w:rsid w:val="00F84E07"/>
    <w:rsid w:val="00F9142A"/>
    <w:rsid w:val="00F92057"/>
    <w:rsid w:val="00FD4F58"/>
    <w:rsid w:val="00FF2D42"/>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4DB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CE6"/>
    <w:pPr>
      <w:spacing w:after="0" w:line="240" w:lineRule="auto"/>
    </w:pPr>
    <w:rPr>
      <w:rFonts w:ascii="Times New Roman" w:eastAsiaTheme="minorHAnsi" w:hAnsi="Times New Roman"/>
      <w:sz w:val="24"/>
      <w:lang w:val="fr-CA"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Hyperlink">
    <w:name w:val="Hyperlink"/>
    <w:basedOn w:val="DefaultParagraphFont"/>
    <w:uiPriority w:val="99"/>
    <w:unhideWhenUsed/>
    <w:rsid w:val="006D0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anlii.org/fr/qc/qcca/doc/2024/2024qcca380/2024qcca380.html?resultIndex=1&amp;resultId=5a39a6ed48594fa2af6ff7bcd01e2f5b&amp;searchId=2024-05-29T15:56:43:784/4fb9cec006f946b2b84bf6d625f108a8" TargetMode="External"/><Relationship Id="rId4" Type="http://schemas.openxmlformats.org/officeDocument/2006/relationships/styles" Target="styles.xml"/><Relationship Id="rId9" Type="http://schemas.openxmlformats.org/officeDocument/2006/relationships/hyperlink" Target="https://www.canlii.org/fr/qc/qcca/doc/2024/2024qcca380/2024qcca380.html?resultIndex=1&amp;resultId=5a39a6ed48594fa2af6ff7bcd01e2f5b&amp;searchId=2024-05-29T15:56:43:784/4fb9cec006f946b2b84bf6d625f108a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Wagner; O'Bonsawin; Moreau</AuthorContributor>
    <FolderNameEn xmlns="40ae4924-d04e-473c-aafa-3657aad971d6">Leave Application - Judgment on Leave Application</FolderNameEn>
    <Case xmlns="40ae4924-d04e-473c-aafa-3657aad971d6">15758</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2024-12-05T05:00:00+00:00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3.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90154-AB80-4201-90D9-F50760ABE334}">
  <ds:schemaRefs>
    <ds:schemaRef ds:uri="http://schemas.microsoft.com/sharepoint/v3/contenttype/forms"/>
  </ds:schemaRefs>
</ds:datastoreItem>
</file>

<file path=customXml/itemProps2.xml><?xml version="1.0" encoding="utf-8"?>
<ds:datastoreItem xmlns:ds="http://schemas.openxmlformats.org/officeDocument/2006/customXml" ds:itemID="{248C4E41-473F-412C-A9D6-08BF0F04062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0ae4924-d04e-473c-aafa-3657aad971d6"/>
    <ds:schemaRef ds:uri="http://www.w3.org/XML/1998/namespace"/>
    <ds:schemaRef ds:uri="http://purl.org/dc/terms/"/>
  </ds:schemaRefs>
</ds:datastoreItem>
</file>

<file path=customXml/itemProps3.xml><?xml version="1.0" encoding="utf-8"?>
<ds:datastoreItem xmlns:ds="http://schemas.openxmlformats.org/officeDocument/2006/customXml" ds:itemID="{8802F286-E733-47D1-8659-5AB34781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2024-12-02T19:20:00Z</dcterms:created>
  <dcterms:modified xsi:type="dcterms:W3CDTF">2024-12-02T19:20:00Z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