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462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41403</w:t>
      </w:r>
      <w:r w:rsidR="0016666F" w:rsidRPr="006E7BAE">
        <w:t>     </w:t>
      </w:r>
    </w:p>
    <w:p w14:paraId="1F091E17" w14:textId="77777777" w:rsidR="009F436C" w:rsidRPr="006E7BAE" w:rsidRDefault="009F436C" w:rsidP="00382FEC"/>
    <w:p w14:paraId="3BD427D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54F4EBF" w14:textId="77777777" w:rsidTr="00C173B0">
        <w:tc>
          <w:tcPr>
            <w:tcW w:w="2269" w:type="pct"/>
          </w:tcPr>
          <w:p w14:paraId="5509CBAF" w14:textId="77777777" w:rsidR="00417FB7" w:rsidRPr="006E7BAE" w:rsidRDefault="00153926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73D7CB38" w14:textId="77777777" w:rsidR="00417FB7" w:rsidRPr="006E7BAE" w:rsidRDefault="00417FB7" w:rsidP="00382FEC"/>
        </w:tc>
        <w:tc>
          <w:tcPr>
            <w:tcW w:w="2350" w:type="pct"/>
          </w:tcPr>
          <w:p w14:paraId="389C0A9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153926">
              <w:t>5 décembre</w:t>
            </w:r>
            <w:r>
              <w:t xml:space="preserve"> 2024</w:t>
            </w:r>
          </w:p>
        </w:tc>
      </w:tr>
      <w:tr w:rsidR="00E12A51" w:rsidRPr="006E7BAE" w14:paraId="0568548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8CD3F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BABCD9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FB228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766A41" w14:paraId="38ECD252" w14:textId="77777777" w:rsidTr="00C173B0">
        <w:tc>
          <w:tcPr>
            <w:tcW w:w="2269" w:type="pct"/>
          </w:tcPr>
          <w:p w14:paraId="0E7ED34D" w14:textId="77777777" w:rsidR="00F80561" w:rsidRDefault="00F80561"/>
          <w:p w14:paraId="327CDCCF" w14:textId="77777777" w:rsidR="00F80561" w:rsidRDefault="00CA449D">
            <w:pPr>
              <w:pStyle w:val="SCCLsocPrefix"/>
            </w:pPr>
            <w:r>
              <w:t>BETWEEN:</w:t>
            </w:r>
          </w:p>
          <w:p w14:paraId="197874BB" w14:textId="77777777" w:rsidR="00C75ED6" w:rsidRPr="00C75ED6" w:rsidRDefault="00C75ED6" w:rsidP="00766A41"/>
          <w:p w14:paraId="7B2FAEA3" w14:textId="77777777" w:rsidR="00F80561" w:rsidRDefault="00CA449D">
            <w:pPr>
              <w:pStyle w:val="SCCLsocParty"/>
            </w:pPr>
            <w:r>
              <w:t>Abdifatah Elmi</w:t>
            </w:r>
            <w:r>
              <w:br/>
            </w:r>
          </w:p>
          <w:p w14:paraId="6F4BA151" w14:textId="77777777" w:rsidR="00F80561" w:rsidRDefault="00CA449D">
            <w:pPr>
              <w:pStyle w:val="SCCLsocPartyRole"/>
            </w:pPr>
            <w:r>
              <w:t>Applicant</w:t>
            </w:r>
            <w:r>
              <w:br/>
            </w:r>
          </w:p>
          <w:p w14:paraId="4378953D" w14:textId="77777777" w:rsidR="00F80561" w:rsidRDefault="00CA449D">
            <w:pPr>
              <w:pStyle w:val="SCCLsocVersus"/>
            </w:pPr>
            <w:r>
              <w:t>- and -</w:t>
            </w:r>
          </w:p>
          <w:p w14:paraId="040225E6" w14:textId="77777777" w:rsidR="00F80561" w:rsidRDefault="00F80561"/>
          <w:p w14:paraId="617488C6" w14:textId="77777777" w:rsidR="00F80561" w:rsidRDefault="00CA449D">
            <w:pPr>
              <w:pStyle w:val="SCCLsocParty"/>
            </w:pPr>
            <w:r>
              <w:t>Fasken Martineau DuMoulin LLP</w:t>
            </w:r>
            <w:r>
              <w:br/>
            </w:r>
          </w:p>
          <w:p w14:paraId="4EAFF1D0" w14:textId="77777777" w:rsidR="00F80561" w:rsidRDefault="00CA449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EDCA941" w14:textId="77777777" w:rsidR="00824412" w:rsidRPr="006E7BAE" w:rsidRDefault="00824412" w:rsidP="00375294"/>
        </w:tc>
        <w:tc>
          <w:tcPr>
            <w:tcW w:w="2350" w:type="pct"/>
          </w:tcPr>
          <w:p w14:paraId="025603A6" w14:textId="77777777" w:rsidR="00F80561" w:rsidRPr="00CA449D" w:rsidRDefault="00F80561">
            <w:pPr>
              <w:rPr>
                <w:lang w:val="fr-CA"/>
              </w:rPr>
            </w:pPr>
          </w:p>
          <w:p w14:paraId="38D6B366" w14:textId="77777777" w:rsidR="00F80561" w:rsidRDefault="00CA449D">
            <w:pPr>
              <w:pStyle w:val="SCCLsocPrefix"/>
              <w:rPr>
                <w:lang w:val="fr-CA"/>
              </w:rPr>
            </w:pPr>
            <w:r w:rsidRPr="00CA449D">
              <w:rPr>
                <w:lang w:val="fr-CA"/>
              </w:rPr>
              <w:t>ENTRE :</w:t>
            </w:r>
          </w:p>
          <w:p w14:paraId="60F38406" w14:textId="77777777" w:rsidR="00C75ED6" w:rsidRPr="00C75ED6" w:rsidRDefault="00C75ED6" w:rsidP="00766A41">
            <w:pPr>
              <w:rPr>
                <w:lang w:val="fr-CA"/>
              </w:rPr>
            </w:pPr>
          </w:p>
          <w:p w14:paraId="1FAD1D76" w14:textId="77777777" w:rsidR="00F80561" w:rsidRPr="00CA449D" w:rsidRDefault="00CA449D">
            <w:pPr>
              <w:pStyle w:val="SCCLsocParty"/>
              <w:rPr>
                <w:lang w:val="fr-CA"/>
              </w:rPr>
            </w:pPr>
            <w:r w:rsidRPr="00CA449D">
              <w:rPr>
                <w:lang w:val="fr-CA"/>
              </w:rPr>
              <w:t>Abdifatah Elmi</w:t>
            </w:r>
            <w:r w:rsidRPr="00CA449D">
              <w:rPr>
                <w:lang w:val="fr-CA"/>
              </w:rPr>
              <w:br/>
            </w:r>
          </w:p>
          <w:p w14:paraId="4F4FF455" w14:textId="77777777" w:rsidR="00F80561" w:rsidRPr="00CA449D" w:rsidRDefault="00CA449D">
            <w:pPr>
              <w:pStyle w:val="SCCLsocPartyRole"/>
              <w:rPr>
                <w:lang w:val="fr-CA"/>
              </w:rPr>
            </w:pPr>
            <w:r w:rsidRPr="00CA449D">
              <w:rPr>
                <w:lang w:val="fr-CA"/>
              </w:rPr>
              <w:t>Demandeur</w:t>
            </w:r>
            <w:r w:rsidRPr="00CA449D">
              <w:rPr>
                <w:lang w:val="fr-CA"/>
              </w:rPr>
              <w:br/>
            </w:r>
          </w:p>
          <w:p w14:paraId="495D511F" w14:textId="77777777" w:rsidR="00F80561" w:rsidRPr="00CA449D" w:rsidRDefault="00CA449D">
            <w:pPr>
              <w:pStyle w:val="SCCLsocVersus"/>
              <w:rPr>
                <w:lang w:val="fr-CA"/>
              </w:rPr>
            </w:pPr>
            <w:r w:rsidRPr="00CA449D">
              <w:rPr>
                <w:lang w:val="fr-CA"/>
              </w:rPr>
              <w:t>- et -</w:t>
            </w:r>
          </w:p>
          <w:p w14:paraId="1BFDEFDA" w14:textId="77777777" w:rsidR="00F80561" w:rsidRPr="00CA449D" w:rsidRDefault="00F80561">
            <w:pPr>
              <w:rPr>
                <w:lang w:val="fr-CA"/>
              </w:rPr>
            </w:pPr>
          </w:p>
          <w:p w14:paraId="77E72CA6" w14:textId="77777777" w:rsidR="00F80561" w:rsidRPr="00CA449D" w:rsidRDefault="00CA449D">
            <w:pPr>
              <w:pStyle w:val="SCCLsocParty"/>
              <w:rPr>
                <w:lang w:val="fr-CA"/>
              </w:rPr>
            </w:pPr>
            <w:r w:rsidRPr="00CA449D">
              <w:rPr>
                <w:lang w:val="fr-CA"/>
              </w:rPr>
              <w:t>Fasken Martineau DuMoulin LLP</w:t>
            </w:r>
            <w:r w:rsidRPr="00CA449D">
              <w:rPr>
                <w:lang w:val="fr-CA"/>
              </w:rPr>
              <w:br/>
            </w:r>
          </w:p>
          <w:p w14:paraId="7AA8CDD1" w14:textId="31E550F9" w:rsidR="00F80561" w:rsidRPr="00766A41" w:rsidRDefault="00CA449D">
            <w:pPr>
              <w:pStyle w:val="SCCLsocPartyRole"/>
              <w:rPr>
                <w:lang w:val="fr-CA"/>
              </w:rPr>
            </w:pPr>
            <w:r w:rsidRPr="00766A41">
              <w:rPr>
                <w:lang w:val="fr-CA"/>
              </w:rPr>
              <w:t>Intimé</w:t>
            </w:r>
            <w:r w:rsidR="000A280C" w:rsidRPr="00766A41">
              <w:rPr>
                <w:lang w:val="fr-CA"/>
              </w:rPr>
              <w:t>e</w:t>
            </w:r>
          </w:p>
        </w:tc>
      </w:tr>
      <w:tr w:rsidR="00824412" w:rsidRPr="00766A41" w14:paraId="6BA33F0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4D7651" w14:textId="77777777" w:rsidR="00824412" w:rsidRPr="00766A4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C0FC28" w14:textId="77777777" w:rsidR="00824412" w:rsidRPr="00766A4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49678C1" w14:textId="77777777" w:rsidR="00824412" w:rsidRPr="00766A41" w:rsidRDefault="00824412" w:rsidP="00B408F8">
            <w:pPr>
              <w:rPr>
                <w:lang w:val="fr-CA"/>
              </w:rPr>
            </w:pPr>
          </w:p>
        </w:tc>
      </w:tr>
      <w:tr w:rsidR="00824412" w:rsidRPr="00766A41" w14:paraId="6DAA7B74" w14:textId="77777777" w:rsidTr="00C173B0">
        <w:tc>
          <w:tcPr>
            <w:tcW w:w="2269" w:type="pct"/>
          </w:tcPr>
          <w:p w14:paraId="70B500B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AE9A0AE" w14:textId="77777777" w:rsidR="00824412" w:rsidRPr="006E7BAE" w:rsidRDefault="00824412" w:rsidP="00417FB7">
            <w:pPr>
              <w:jc w:val="center"/>
            </w:pPr>
          </w:p>
          <w:p w14:paraId="10CF0558" w14:textId="33FF9BC4" w:rsidR="003F6511" w:rsidRDefault="00CA449D" w:rsidP="00011960">
            <w:pPr>
              <w:jc w:val="both"/>
            </w:pPr>
            <w:r w:rsidRPr="00CA449D"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King’s Bench of Alberta</w:t>
            </w:r>
            <w:r w:rsidR="00824412" w:rsidRPr="006E7BAE">
              <w:t xml:space="preserve">, Number </w:t>
            </w:r>
            <w:r w:rsidR="00824412">
              <w:t>2301</w:t>
            </w:r>
            <w:r w:rsidR="00437B78">
              <w:t>-</w:t>
            </w:r>
            <w:r w:rsidR="00824412">
              <w:t>11628</w:t>
            </w:r>
            <w:r w:rsidR="00824412" w:rsidRPr="006E7BAE">
              <w:t xml:space="preserve">, dated </w:t>
            </w:r>
            <w:r w:rsidR="00824412">
              <w:t>May 17, 2024</w:t>
            </w:r>
            <w:r w:rsidR="00055CE7">
              <w:t>,</w:t>
            </w:r>
            <w:r w:rsidR="00824412" w:rsidRPr="006E7BAE">
              <w:t xml:space="preserve"> is </w:t>
            </w:r>
            <w:r>
              <w:t xml:space="preserve">dismissed </w:t>
            </w:r>
            <w:r w:rsidRPr="00CA449D">
              <w:t xml:space="preserve">with costs </w:t>
            </w:r>
            <w:r w:rsidR="00C75ED6">
              <w:rPr>
                <w:color w:val="000000"/>
              </w:rPr>
              <w:t>in accordance with the </w:t>
            </w:r>
            <w:r w:rsidR="00C75ED6" w:rsidRPr="00766A41">
              <w:rPr>
                <w:rStyle w:val="solexhl"/>
                <w:shd w:val="clear" w:color="auto" w:fill="FFFFFF" w:themeFill="background1"/>
              </w:rPr>
              <w:t>tariff of fees and disbursements</w:t>
            </w:r>
            <w:r w:rsidR="00C75ED6">
              <w:rPr>
                <w:color w:val="000000"/>
              </w:rPr>
              <w:t> set out in Schedule B of the </w:t>
            </w:r>
            <w:r w:rsidR="00C75ED6">
              <w:rPr>
                <w:i/>
                <w:iCs/>
                <w:color w:val="000000"/>
              </w:rPr>
              <w:t>Rules of the Supreme Court of Canada</w:t>
            </w:r>
            <w:r w:rsidR="00C75ED6">
              <w:rPr>
                <w:color w:val="000000"/>
              </w:rPr>
              <w:t>.</w:t>
            </w:r>
          </w:p>
          <w:p w14:paraId="710CC97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29B06C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05E9FB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922BAA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4604E59" w14:textId="7A94A80B" w:rsidR="003F6511" w:rsidRPr="006E7BAE" w:rsidRDefault="00CA449D" w:rsidP="00F43E92">
            <w:pPr>
              <w:jc w:val="both"/>
              <w:rPr>
                <w:lang w:val="fr-CA"/>
              </w:rPr>
            </w:pPr>
            <w:r w:rsidRPr="00CA449D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A449D">
              <w:rPr>
                <w:lang w:val="fr-CA"/>
              </w:rPr>
              <w:t>Cour du banc d</w:t>
            </w:r>
            <w:r w:rsidR="00F43E92">
              <w:rPr>
                <w:lang w:val="fr-CA"/>
              </w:rPr>
              <w:t>u</w:t>
            </w:r>
            <w:r w:rsidR="00824412" w:rsidRPr="00CA449D">
              <w:rPr>
                <w:lang w:val="fr-CA"/>
              </w:rPr>
              <w:t xml:space="preserve"> Roi de l</w:t>
            </w:r>
            <w:r w:rsidR="00F43E92">
              <w:rPr>
                <w:lang w:val="fr-CA"/>
              </w:rPr>
              <w:t>’</w:t>
            </w:r>
            <w:r w:rsidR="00824412" w:rsidRPr="00CA449D">
              <w:rPr>
                <w:lang w:val="fr-CA"/>
              </w:rPr>
              <w:t>Alberta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CA449D">
              <w:rPr>
                <w:lang w:val="fr-CA"/>
              </w:rPr>
              <w:t>2301</w:t>
            </w:r>
            <w:r w:rsidR="00437B78">
              <w:rPr>
                <w:lang w:val="fr-CA"/>
              </w:rPr>
              <w:t>-</w:t>
            </w:r>
            <w:r w:rsidR="00824412" w:rsidRPr="00CA449D">
              <w:rPr>
                <w:lang w:val="fr-CA"/>
              </w:rPr>
              <w:t>11628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CA449D">
              <w:rPr>
                <w:lang w:val="fr-CA"/>
              </w:rPr>
              <w:t>17 mai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 xml:space="preserve">rejetée </w:t>
            </w:r>
            <w:r w:rsidR="00C75ED6" w:rsidRPr="00766A41">
              <w:rPr>
                <w:color w:val="000000"/>
                <w:lang w:val="fr-CA"/>
              </w:rPr>
              <w:t>avec dépens conformément au tarif des honoraires et débours établi à l’Annexe B des </w:t>
            </w:r>
            <w:r w:rsidR="00C75ED6" w:rsidRPr="00766A41">
              <w:rPr>
                <w:i/>
                <w:iCs/>
                <w:color w:val="000000"/>
                <w:lang w:val="fr-CA"/>
              </w:rPr>
              <w:t>Règles de la Cour suprême du Canada</w:t>
            </w:r>
            <w:r w:rsidR="00C75ED6" w:rsidRPr="00766A41">
              <w:rPr>
                <w:color w:val="000000"/>
                <w:lang w:val="fr-CA"/>
              </w:rPr>
              <w:t>.</w:t>
            </w:r>
          </w:p>
        </w:tc>
      </w:tr>
    </w:tbl>
    <w:p w14:paraId="404F0A26" w14:textId="77777777" w:rsidR="009F436C" w:rsidRPr="00D83B8C" w:rsidRDefault="009F436C" w:rsidP="00382FEC">
      <w:pPr>
        <w:rPr>
          <w:lang w:val="fr-CA"/>
        </w:rPr>
      </w:pPr>
    </w:p>
    <w:p w14:paraId="33453B22" w14:textId="77777777" w:rsidR="009F436C" w:rsidRPr="00D83B8C" w:rsidRDefault="009F436C" w:rsidP="00417FB7">
      <w:pPr>
        <w:jc w:val="center"/>
        <w:rPr>
          <w:lang w:val="fr-CA"/>
        </w:rPr>
      </w:pPr>
    </w:p>
    <w:p w14:paraId="01FA4D57" w14:textId="77777777" w:rsidR="009F436C" w:rsidRPr="00D83B8C" w:rsidRDefault="009F436C" w:rsidP="00417FB7">
      <w:pPr>
        <w:jc w:val="center"/>
        <w:rPr>
          <w:lang w:val="fr-CA"/>
        </w:rPr>
      </w:pPr>
    </w:p>
    <w:p w14:paraId="7A75A8B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ED76C54" w14:textId="77777777" w:rsidR="003A37CF" w:rsidRPr="00D83B8C" w:rsidRDefault="003A37CF" w:rsidP="00CA449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FD030" w14:textId="77777777" w:rsidR="00983D48" w:rsidRDefault="00983D48">
      <w:r>
        <w:separator/>
      </w:r>
    </w:p>
  </w:endnote>
  <w:endnote w:type="continuationSeparator" w:id="0">
    <w:p w14:paraId="42F2B2F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647E4" w14:textId="77777777" w:rsidR="00983D48" w:rsidRDefault="00983D48">
      <w:r>
        <w:separator/>
      </w:r>
    </w:p>
  </w:footnote>
  <w:footnote w:type="continuationSeparator" w:id="0">
    <w:p w14:paraId="7670A3F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EC61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F3A9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CB20FA3" w14:textId="77777777" w:rsidR="008F53F3" w:rsidRDefault="008F53F3" w:rsidP="008F53F3">
    <w:pPr>
      <w:rPr>
        <w:szCs w:val="24"/>
      </w:rPr>
    </w:pPr>
  </w:p>
  <w:p w14:paraId="660EAB5E" w14:textId="77777777" w:rsidR="008F53F3" w:rsidRDefault="008F53F3" w:rsidP="008F53F3">
    <w:pPr>
      <w:rPr>
        <w:szCs w:val="24"/>
      </w:rPr>
    </w:pPr>
  </w:p>
  <w:p w14:paraId="5BD1161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41403</w:t>
    </w:r>
    <w:r>
      <w:rPr>
        <w:szCs w:val="24"/>
      </w:rPr>
      <w:t>     </w:t>
    </w:r>
  </w:p>
  <w:p w14:paraId="7F49E54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4D0F1CD" w14:textId="77777777" w:rsidR="0073151A" w:rsidRDefault="0073151A" w:rsidP="0073151A"/>
      <w:p w14:paraId="3ED9424E" w14:textId="77777777" w:rsidR="0073151A" w:rsidRPr="006E7BAE" w:rsidRDefault="0073151A" w:rsidP="0073151A"/>
      <w:p w14:paraId="2FD17557" w14:textId="77777777" w:rsidR="0073151A" w:rsidRPr="006E7BAE" w:rsidRDefault="0073151A" w:rsidP="0073151A"/>
      <w:p w14:paraId="118F5DA1" w14:textId="77777777" w:rsidR="0073151A" w:rsidRPr="006E7BAE" w:rsidRDefault="0073151A" w:rsidP="0073151A"/>
      <w:p w14:paraId="4407A6DB" w14:textId="77777777" w:rsidR="0073151A" w:rsidRDefault="0073151A" w:rsidP="0073151A"/>
      <w:p w14:paraId="7498F054" w14:textId="77777777" w:rsidR="0073151A" w:rsidRDefault="0073151A" w:rsidP="0073151A"/>
      <w:p w14:paraId="2A48BF60" w14:textId="77777777" w:rsidR="0073151A" w:rsidRDefault="0073151A" w:rsidP="0073151A"/>
      <w:p w14:paraId="43E29F44" w14:textId="77777777" w:rsidR="0073151A" w:rsidRDefault="0073151A" w:rsidP="0073151A"/>
      <w:p w14:paraId="6804C1ED" w14:textId="77777777" w:rsidR="0073151A" w:rsidRDefault="0073151A" w:rsidP="0073151A"/>
      <w:p w14:paraId="19909337" w14:textId="77777777" w:rsidR="0073151A" w:rsidRPr="006E7BAE" w:rsidRDefault="0073151A" w:rsidP="0073151A"/>
      <w:p w14:paraId="5A6C70F5" w14:textId="77777777" w:rsidR="00ED265D" w:rsidRPr="0073151A" w:rsidRDefault="00C7768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5CE7"/>
    <w:rsid w:val="00057FAF"/>
    <w:rsid w:val="00074657"/>
    <w:rsid w:val="00091327"/>
    <w:rsid w:val="000919B4"/>
    <w:rsid w:val="000A280C"/>
    <w:rsid w:val="000B4AA7"/>
    <w:rsid w:val="000B76FF"/>
    <w:rsid w:val="000C5AF7"/>
    <w:rsid w:val="000D7521"/>
    <w:rsid w:val="000E4CCE"/>
    <w:rsid w:val="00110EB3"/>
    <w:rsid w:val="00153926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3A93"/>
    <w:rsid w:val="003F6511"/>
    <w:rsid w:val="00410EDC"/>
    <w:rsid w:val="00414694"/>
    <w:rsid w:val="00417FB7"/>
    <w:rsid w:val="0042783F"/>
    <w:rsid w:val="00437B78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66A41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75ED6"/>
    <w:rsid w:val="00C77684"/>
    <w:rsid w:val="00CA449D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3E92"/>
    <w:rsid w:val="00F47372"/>
    <w:rsid w:val="00F5034C"/>
    <w:rsid w:val="00F70D4F"/>
    <w:rsid w:val="00F747B4"/>
    <w:rsid w:val="00F76E97"/>
    <w:rsid w:val="00F80561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B3B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75ED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olexhl">
    <w:name w:val="solexhl"/>
    <w:basedOn w:val="DefaultParagraphFont"/>
    <w:rsid w:val="00C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15859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50F2FD58-667B-4475-A025-DE9F6D197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C74E74-53D9-4ECA-91BE-C1C9B895C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74155-69E8-4694-B47D-8AE8865F3F19}">
  <ds:schemaRefs>
    <ds:schemaRef ds:uri="40ae4924-d04e-473c-aafa-3657aad971d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2024-12-02T19:51:00Z</dcterms:created>
  <dcterms:modified xsi:type="dcterms:W3CDTF">2024-12-02T19:51:00Z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