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436C" w:rsidRPr="001E26DB" w:rsidRDefault="00BD2A96" w:rsidP="00AE2077">
      <w:pPr>
        <w:jc w:val="right"/>
      </w:pPr>
      <w:bookmarkStart w:id="0" w:name="_GoBack"/>
      <w:bookmarkEnd w:id="0"/>
      <w:r w:rsidRPr="001E26DB">
        <w:rPr>
          <w:szCs w:val="24"/>
        </w:rPr>
        <w:t>N</w:t>
      </w:r>
      <w:r w:rsidRPr="001E26DB">
        <w:rPr>
          <w:szCs w:val="24"/>
          <w:vertAlign w:val="superscript"/>
        </w:rPr>
        <w:t>o</w:t>
      </w:r>
      <w:r w:rsidR="003A37CF" w:rsidRPr="001E26DB">
        <w:t xml:space="preserve"> </w:t>
      </w:r>
      <w:r>
        <w:t>33906</w:t>
      </w:r>
      <w:r w:rsidR="00E81C0B" w:rsidRPr="001E26DB">
        <w:t>     </w:t>
      </w:r>
    </w:p>
    <w:p w:rsidR="009F436C" w:rsidRPr="001E26DB" w:rsidRDefault="009F436C" w:rsidP="00382FEC"/>
    <w:p w:rsidR="003C744C" w:rsidRPr="001E26DB" w:rsidRDefault="003C744C" w:rsidP="00382FEC"/>
    <w:tbl>
      <w:tblPr>
        <w:tblW w:w="5000" w:type="pct"/>
        <w:tblLayout w:type="fixed"/>
        <w:tblCellMar>
          <w:left w:w="29" w:type="dxa"/>
          <w:right w:w="29" w:type="dxa"/>
        </w:tblCellMar>
        <w:tblLook w:val="0000" w:firstRow="0" w:lastRow="0" w:firstColumn="0" w:lastColumn="0" w:noHBand="0" w:noVBand="0"/>
      </w:tblPr>
      <w:tblGrid>
        <w:gridCol w:w="4274"/>
        <w:gridCol w:w="718"/>
        <w:gridCol w:w="4426"/>
      </w:tblGrid>
      <w:tr w:rsidR="00417FB7" w:rsidRPr="00F4094A" w:rsidTr="00F47372">
        <w:tc>
          <w:tcPr>
            <w:tcW w:w="2269" w:type="pct"/>
          </w:tcPr>
          <w:p w:rsidR="00417FB7" w:rsidRPr="001E26DB" w:rsidRDefault="005B69C9" w:rsidP="00AB7C63">
            <w:r>
              <w:t xml:space="preserve">Le </w:t>
            </w:r>
            <w:r w:rsidR="00AB7C63">
              <w:t>24</w:t>
            </w:r>
            <w:r>
              <w:t xml:space="preserve"> mars 2011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5B69C9" w:rsidP="00AB7C63">
            <w:pPr>
              <w:rPr>
                <w:lang w:val="en-CA"/>
              </w:rPr>
            </w:pPr>
            <w:r>
              <w:t xml:space="preserve">March </w:t>
            </w:r>
            <w:r w:rsidR="00AB7C63">
              <w:t>24</w:t>
            </w:r>
            <w:r>
              <w:t>, 2011</w:t>
            </w:r>
          </w:p>
        </w:tc>
      </w:tr>
      <w:tr w:rsidR="00E12A51" w:rsidRPr="00F4094A" w:rsidTr="00F47372">
        <w:tc>
          <w:tcPr>
            <w:tcW w:w="2269" w:type="pct"/>
          </w:tcPr>
          <w:p w:rsidR="00C2612E" w:rsidRPr="002C29B6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E12A51" w:rsidRPr="002C29B6" w:rsidRDefault="00E12A51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E12A51" w:rsidRPr="001E26DB" w:rsidRDefault="00E12A51" w:rsidP="00816B78">
            <w:pPr>
              <w:rPr>
                <w:lang w:val="en-CA"/>
              </w:rPr>
            </w:pPr>
          </w:p>
        </w:tc>
      </w:tr>
      <w:tr w:rsidR="00417FB7" w:rsidRPr="008A4AF2" w:rsidTr="00F47372">
        <w:tc>
          <w:tcPr>
            <w:tcW w:w="2269" w:type="pct"/>
          </w:tcPr>
          <w:p w:rsidR="00417FB7" w:rsidRPr="001E26DB" w:rsidRDefault="00417FB7" w:rsidP="00AB7C63">
            <w:pPr>
              <w:jc w:val="both"/>
            </w:pPr>
            <w:r w:rsidRPr="001E26DB">
              <w:t>Coram</w:t>
            </w:r>
            <w:r w:rsidR="007F41D5" w:rsidRPr="001E26DB">
              <w:t> </w:t>
            </w:r>
            <w:r w:rsidRPr="001E26DB">
              <w:t xml:space="preserve">: </w:t>
            </w:r>
            <w:r>
              <w:t>Les juges LeBel, Deschamps et Charron</w:t>
            </w:r>
          </w:p>
        </w:tc>
        <w:tc>
          <w:tcPr>
            <w:tcW w:w="381" w:type="pct"/>
          </w:tcPr>
          <w:p w:rsidR="00417FB7" w:rsidRPr="001E26DB" w:rsidRDefault="00417FB7" w:rsidP="00382FEC"/>
        </w:tc>
        <w:tc>
          <w:tcPr>
            <w:tcW w:w="2350" w:type="pct"/>
          </w:tcPr>
          <w:p w:rsidR="00417FB7" w:rsidRPr="001E26DB" w:rsidRDefault="007F41D5" w:rsidP="00382FEC">
            <w:pPr>
              <w:rPr>
                <w:lang w:val="en-CA"/>
              </w:rPr>
            </w:pPr>
            <w:r w:rsidRPr="001E26DB">
              <w:rPr>
                <w:lang w:val="en-CA"/>
              </w:rPr>
              <w:t>Coram</w:t>
            </w:r>
            <w:r w:rsidR="00417FB7" w:rsidRPr="001E26DB">
              <w:rPr>
                <w:lang w:val="en-CA"/>
              </w:rPr>
              <w:t>:</w:t>
            </w:r>
            <w:r w:rsidRPr="001E26DB">
              <w:rPr>
                <w:lang w:val="en-CA"/>
              </w:rPr>
              <w:t xml:space="preserve"> </w:t>
            </w:r>
            <w:r w:rsidR="00417FB7" w:rsidRPr="001E26DB">
              <w:rPr>
                <w:lang w:val="en-CA"/>
              </w:rPr>
              <w:t xml:space="preserve"> </w:t>
            </w:r>
            <w:r w:rsidRPr="00AB7C63">
              <w:rPr>
                <w:lang w:val="en-US"/>
              </w:rPr>
              <w:t>LeBel, Deschamps and Charron JJ.</w:t>
            </w:r>
          </w:p>
        </w:tc>
      </w:tr>
      <w:tr w:rsidR="00C2612E" w:rsidRPr="008A4AF2" w:rsidTr="00F47372">
        <w:tc>
          <w:tcPr>
            <w:tcW w:w="2269" w:type="pct"/>
          </w:tcPr>
          <w:p w:rsidR="00C2612E" w:rsidRPr="00AB7C63" w:rsidRDefault="00C2612E" w:rsidP="008262A3">
            <w:pPr>
              <w:rPr>
                <w:lang w:val="en-US"/>
              </w:rPr>
            </w:pPr>
          </w:p>
          <w:p w:rsidR="00C2612E" w:rsidRPr="00AB7C63" w:rsidRDefault="00C2612E" w:rsidP="008262A3">
            <w:pPr>
              <w:rPr>
                <w:lang w:val="en-US"/>
              </w:rPr>
            </w:pPr>
          </w:p>
        </w:tc>
        <w:tc>
          <w:tcPr>
            <w:tcW w:w="381" w:type="pct"/>
          </w:tcPr>
          <w:p w:rsidR="00C2612E" w:rsidRPr="00AB7C63" w:rsidRDefault="00C2612E" w:rsidP="00382FEC">
            <w:pPr>
              <w:rPr>
                <w:lang w:val="en-US"/>
              </w:rPr>
            </w:pPr>
          </w:p>
        </w:tc>
        <w:tc>
          <w:tcPr>
            <w:tcW w:w="2350" w:type="pct"/>
          </w:tcPr>
          <w:p w:rsidR="00C2612E" w:rsidRPr="001E26DB" w:rsidRDefault="00C2612E" w:rsidP="00382FEC">
            <w:pPr>
              <w:rPr>
                <w:lang w:val="en-CA"/>
              </w:rPr>
            </w:pP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7816CA" w:rsidRDefault="00E83C84">
            <w:pPr>
              <w:pStyle w:val="SCCLsocPrefix"/>
            </w:pPr>
            <w:r>
              <w:t>ENTRE :</w:t>
            </w:r>
            <w:r>
              <w:br/>
            </w:r>
          </w:p>
          <w:p w:rsidR="007816CA" w:rsidRDefault="00E83C84">
            <w:pPr>
              <w:pStyle w:val="SCCLsocParty"/>
            </w:pPr>
            <w:r>
              <w:t>Denis C. Charron</w:t>
            </w:r>
            <w:r>
              <w:br/>
            </w:r>
          </w:p>
          <w:p w:rsidR="007816CA" w:rsidRDefault="00E83C84">
            <w:pPr>
              <w:pStyle w:val="SCCLsocPartyRole"/>
            </w:pPr>
            <w:r>
              <w:t>Demandeur</w:t>
            </w:r>
            <w:r>
              <w:br/>
            </w:r>
          </w:p>
          <w:p w:rsidR="007816CA" w:rsidRDefault="00E83C84">
            <w:pPr>
              <w:pStyle w:val="SCCLsocVersus"/>
            </w:pPr>
            <w:r>
              <w:t>- et -</w:t>
            </w:r>
            <w:r>
              <w:br/>
            </w:r>
          </w:p>
          <w:p w:rsidR="007816CA" w:rsidRDefault="00E83C84">
            <w:pPr>
              <w:pStyle w:val="SCCLsocParty"/>
            </w:pPr>
            <w:r>
              <w:t>Claude L. Charron</w:t>
            </w:r>
            <w:r w:rsidR="00AB7C63">
              <w:t xml:space="preserve"> et</w:t>
            </w:r>
            <w:r>
              <w:t xml:space="preserve"> Investissements M.L.C. inc.</w:t>
            </w:r>
            <w:r>
              <w:br/>
            </w:r>
          </w:p>
          <w:p w:rsidR="007816CA" w:rsidRDefault="00E83C84">
            <w:pPr>
              <w:pStyle w:val="SCCLsocPartyRole"/>
            </w:pPr>
            <w:r>
              <w:t>Intimés</w:t>
            </w:r>
            <w:r>
              <w:br/>
            </w:r>
          </w:p>
          <w:p w:rsidR="007816CA" w:rsidRDefault="00E83C84">
            <w:pPr>
              <w:pStyle w:val="SCCLsocSubfileSeparator"/>
            </w:pPr>
            <w:r>
              <w:t>ET ENTRE :</w:t>
            </w:r>
            <w:r>
              <w:br/>
            </w:r>
          </w:p>
          <w:p w:rsidR="007816CA" w:rsidRDefault="00E83C84">
            <w:pPr>
              <w:pStyle w:val="SCCLsocParty"/>
            </w:pPr>
            <w:r>
              <w:t xml:space="preserve">Société en commandite </w:t>
            </w:r>
            <w:r w:rsidR="00181046">
              <w:t>I</w:t>
            </w:r>
            <w:r>
              <w:t>nvestissements Royal Montréal</w:t>
            </w:r>
            <w:r>
              <w:br/>
            </w:r>
          </w:p>
          <w:p w:rsidR="007816CA" w:rsidRDefault="00E83C84">
            <w:pPr>
              <w:pStyle w:val="SCCLsocPartyRole"/>
            </w:pPr>
            <w:r>
              <w:t>Demanderesse</w:t>
            </w:r>
            <w:r>
              <w:br/>
            </w:r>
          </w:p>
          <w:p w:rsidR="007816CA" w:rsidRDefault="00E83C84">
            <w:pPr>
              <w:pStyle w:val="SCCLsocVersus"/>
            </w:pPr>
            <w:r>
              <w:t>- et -</w:t>
            </w:r>
            <w:r>
              <w:br/>
            </w:r>
          </w:p>
          <w:p w:rsidR="007816CA" w:rsidRDefault="00E83C84">
            <w:pPr>
              <w:pStyle w:val="SCCLsocParty"/>
            </w:pPr>
            <w:r>
              <w:t>Claude L. Charron, Investissements M.L.C. inc., 9041-7775 Québec inc. et 9041-7783 Québec inc.</w:t>
            </w:r>
            <w:r>
              <w:br/>
            </w:r>
          </w:p>
          <w:p w:rsidR="007816CA" w:rsidRDefault="00E83C84" w:rsidP="00AB7C63">
            <w:pPr>
              <w:pStyle w:val="SCCLsocPartyRole"/>
            </w:pPr>
            <w:r>
              <w:t>Intimés</w:t>
            </w: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7816CA" w:rsidRPr="00AB7C63" w:rsidRDefault="00E83C84">
            <w:pPr>
              <w:pStyle w:val="SCCLsocPrefix"/>
              <w:rPr>
                <w:lang w:val="en-US"/>
              </w:rPr>
            </w:pPr>
            <w:r w:rsidRPr="00AB7C63">
              <w:rPr>
                <w:lang w:val="en-US"/>
              </w:rPr>
              <w:t>BETWEEN:</w:t>
            </w:r>
            <w:r w:rsidRPr="00AB7C63">
              <w:rPr>
                <w:lang w:val="en-US"/>
              </w:rPr>
              <w:br/>
            </w:r>
          </w:p>
          <w:p w:rsidR="007816CA" w:rsidRPr="00AB7C63" w:rsidRDefault="00E83C84">
            <w:pPr>
              <w:pStyle w:val="SCCLsocParty"/>
              <w:rPr>
                <w:lang w:val="en-US"/>
              </w:rPr>
            </w:pPr>
            <w:r w:rsidRPr="00AB7C63">
              <w:rPr>
                <w:lang w:val="en-US"/>
              </w:rPr>
              <w:t>Denis C. Charron</w:t>
            </w:r>
            <w:r w:rsidRPr="00AB7C63">
              <w:rPr>
                <w:lang w:val="en-US"/>
              </w:rPr>
              <w:br/>
            </w:r>
          </w:p>
          <w:p w:rsidR="007816CA" w:rsidRPr="00AB7C63" w:rsidRDefault="00E83C84">
            <w:pPr>
              <w:pStyle w:val="SCCLsocPartyRole"/>
              <w:rPr>
                <w:lang w:val="en-US"/>
              </w:rPr>
            </w:pPr>
            <w:r w:rsidRPr="00AB7C63">
              <w:rPr>
                <w:lang w:val="en-US"/>
              </w:rPr>
              <w:t>Applicant</w:t>
            </w:r>
            <w:r w:rsidRPr="00AB7C63">
              <w:rPr>
                <w:lang w:val="en-US"/>
              </w:rPr>
              <w:br/>
            </w:r>
          </w:p>
          <w:p w:rsidR="007816CA" w:rsidRPr="00AB7C63" w:rsidRDefault="00E83C84">
            <w:pPr>
              <w:pStyle w:val="SCCLsocVersus"/>
              <w:rPr>
                <w:lang w:val="en-US"/>
              </w:rPr>
            </w:pPr>
            <w:r w:rsidRPr="00AB7C63">
              <w:rPr>
                <w:lang w:val="en-US"/>
              </w:rPr>
              <w:t>- and -</w:t>
            </w:r>
            <w:r w:rsidRPr="00AB7C63">
              <w:rPr>
                <w:lang w:val="en-US"/>
              </w:rPr>
              <w:br/>
            </w:r>
          </w:p>
          <w:p w:rsidR="007816CA" w:rsidRPr="00AB7C63" w:rsidRDefault="00AB7C63">
            <w:pPr>
              <w:pStyle w:val="SCCLsocParty"/>
              <w:rPr>
                <w:lang w:val="en-US"/>
              </w:rPr>
            </w:pPr>
            <w:r>
              <w:rPr>
                <w:lang w:val="en-US"/>
              </w:rPr>
              <w:t>Claude L. Charron and</w:t>
            </w:r>
            <w:r w:rsidR="00E83C84" w:rsidRPr="00AB7C63">
              <w:rPr>
                <w:lang w:val="en-US"/>
              </w:rPr>
              <w:t xml:space="preserve"> Investissements M.L.C. inc.</w:t>
            </w:r>
            <w:r w:rsidR="00E83C84" w:rsidRPr="00AB7C63">
              <w:rPr>
                <w:lang w:val="en-US"/>
              </w:rPr>
              <w:br/>
            </w:r>
          </w:p>
          <w:p w:rsidR="007816CA" w:rsidRPr="00AB7C63" w:rsidRDefault="00E83C84">
            <w:pPr>
              <w:pStyle w:val="SCCLsocPartyRole"/>
              <w:rPr>
                <w:lang w:val="en-US"/>
              </w:rPr>
            </w:pPr>
            <w:r w:rsidRPr="00AB7C63">
              <w:rPr>
                <w:lang w:val="en-US"/>
              </w:rPr>
              <w:t>Respondents</w:t>
            </w:r>
            <w:r w:rsidRPr="00AB7C63">
              <w:rPr>
                <w:lang w:val="en-US"/>
              </w:rPr>
              <w:br/>
            </w:r>
          </w:p>
          <w:p w:rsidR="007816CA" w:rsidRPr="00AB7C63" w:rsidRDefault="00E83C84">
            <w:pPr>
              <w:pStyle w:val="SCCLsocSubfileSeparator"/>
              <w:rPr>
                <w:lang w:val="en-US"/>
              </w:rPr>
            </w:pPr>
            <w:r w:rsidRPr="00AB7C63">
              <w:rPr>
                <w:lang w:val="en-US"/>
              </w:rPr>
              <w:t>AND BETWEEN:</w:t>
            </w:r>
            <w:r w:rsidRPr="00AB7C63">
              <w:rPr>
                <w:lang w:val="en-US"/>
              </w:rPr>
              <w:br/>
            </w:r>
          </w:p>
          <w:p w:rsidR="007816CA" w:rsidRDefault="00181046">
            <w:pPr>
              <w:pStyle w:val="SCCLsocParty"/>
            </w:pPr>
            <w:r>
              <w:t>Société en commandite I</w:t>
            </w:r>
            <w:r w:rsidR="00E83C84">
              <w:t>nvestissements Royal Montréal</w:t>
            </w:r>
            <w:r w:rsidR="00E83C84">
              <w:br/>
            </w:r>
          </w:p>
          <w:p w:rsidR="007816CA" w:rsidRDefault="00E83C84">
            <w:pPr>
              <w:pStyle w:val="SCCLsocPartyRole"/>
            </w:pPr>
            <w:r>
              <w:t>Applicant</w:t>
            </w:r>
            <w:r>
              <w:br/>
            </w:r>
          </w:p>
          <w:p w:rsidR="007816CA" w:rsidRDefault="00E83C84">
            <w:pPr>
              <w:pStyle w:val="SCCLsocVersus"/>
            </w:pPr>
            <w:r>
              <w:t>- and -</w:t>
            </w:r>
            <w:r>
              <w:br/>
            </w:r>
          </w:p>
          <w:p w:rsidR="007816CA" w:rsidRDefault="00E83C84">
            <w:pPr>
              <w:pStyle w:val="SCCLsocParty"/>
            </w:pPr>
            <w:r>
              <w:t>Claude L. Charron, Investissements M.L.C. inc., 9041-7775 Québec inc. and 9041-7783 Québec inc.</w:t>
            </w:r>
            <w:r>
              <w:br/>
            </w:r>
          </w:p>
          <w:p w:rsidR="007816CA" w:rsidRDefault="00E83C84">
            <w:pPr>
              <w:pStyle w:val="SCCLsocPartyRole"/>
            </w:pPr>
            <w:r>
              <w:t>Respondents</w:t>
            </w:r>
          </w:p>
        </w:tc>
      </w:tr>
      <w:tr w:rsidR="00824412" w:rsidRPr="00F4094A" w:rsidTr="00F47372">
        <w:tc>
          <w:tcPr>
            <w:tcW w:w="2269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381" w:type="pct"/>
            <w:vAlign w:val="center"/>
          </w:tcPr>
          <w:p w:rsidR="00824412" w:rsidRPr="002C29B6" w:rsidRDefault="00824412" w:rsidP="00375294">
            <w:pPr>
              <w:rPr>
                <w:lang w:val="en-US"/>
              </w:rPr>
            </w:pPr>
          </w:p>
        </w:tc>
        <w:tc>
          <w:tcPr>
            <w:tcW w:w="2350" w:type="pct"/>
            <w:vAlign w:val="center"/>
          </w:tcPr>
          <w:p w:rsidR="00824412" w:rsidRPr="001E26DB" w:rsidRDefault="00824412" w:rsidP="00B408F8">
            <w:pPr>
              <w:rPr>
                <w:lang w:val="en-CA"/>
              </w:rPr>
            </w:pPr>
          </w:p>
        </w:tc>
      </w:tr>
      <w:tr w:rsidR="00824412" w:rsidRPr="008A4AF2" w:rsidTr="00F47372">
        <w:tc>
          <w:tcPr>
            <w:tcW w:w="2269" w:type="pct"/>
          </w:tcPr>
          <w:p w:rsidR="0027081E" w:rsidRPr="001E26DB" w:rsidRDefault="0027081E" w:rsidP="0027081E">
            <w:pPr>
              <w:jc w:val="center"/>
            </w:pPr>
            <w:r w:rsidRPr="001E26DB">
              <w:t>JUGEMENT</w:t>
            </w:r>
          </w:p>
          <w:p w:rsidR="0027081E" w:rsidRPr="001E26DB" w:rsidRDefault="0027081E" w:rsidP="0027081E">
            <w:pPr>
              <w:jc w:val="center"/>
            </w:pPr>
          </w:p>
          <w:p w:rsidR="00824412" w:rsidRPr="001E26DB" w:rsidRDefault="0027081E" w:rsidP="00E92114">
            <w:pPr>
              <w:jc w:val="both"/>
            </w:pPr>
            <w:r w:rsidRPr="001E26DB">
              <w:t xml:space="preserve">La demande d’autorisation d’appel de l’arrêt de la </w:t>
            </w:r>
            <w:r>
              <w:t>Cour d’appel du Québec (Montréal)</w:t>
            </w:r>
            <w:r w:rsidRPr="001E26DB">
              <w:t>, numéro</w:t>
            </w:r>
            <w:r w:rsidR="00AB7C63">
              <w:t>s</w:t>
            </w:r>
            <w:r w:rsidRPr="001E26DB">
              <w:t xml:space="preserve"> </w:t>
            </w:r>
            <w:r>
              <w:t xml:space="preserve"> 500-09-018359-083</w:t>
            </w:r>
            <w:r w:rsidR="00AB7C63">
              <w:t xml:space="preserve"> et 500-09-018358-085</w:t>
            </w:r>
            <w:r w:rsidR="00AB7C63" w:rsidRPr="001E26DB">
              <w:t>,</w:t>
            </w:r>
            <w:r>
              <w:t xml:space="preserve"> 2010 QCCA 1496, </w:t>
            </w:r>
            <w:r w:rsidRPr="001E26DB">
              <w:lastRenderedPageBreak/>
              <w:t xml:space="preserve">daté du </w:t>
            </w:r>
            <w:r>
              <w:t>18 août 2010</w:t>
            </w:r>
            <w:r w:rsidRPr="001E26DB">
              <w:t xml:space="preserve">, est </w:t>
            </w:r>
            <w:r w:rsidR="00AB7C63">
              <w:t>rejetée avec dépens</w:t>
            </w:r>
            <w:r w:rsidRPr="001E26DB">
              <w:t>.</w:t>
            </w:r>
          </w:p>
        </w:tc>
        <w:tc>
          <w:tcPr>
            <w:tcW w:w="381" w:type="pct"/>
          </w:tcPr>
          <w:p w:rsidR="00824412" w:rsidRPr="001E26DB" w:rsidRDefault="00824412" w:rsidP="00417FB7">
            <w:pPr>
              <w:jc w:val="center"/>
            </w:pPr>
          </w:p>
        </w:tc>
        <w:tc>
          <w:tcPr>
            <w:tcW w:w="2350" w:type="pct"/>
          </w:tcPr>
          <w:p w:rsidR="0027081E" w:rsidRPr="001E26DB" w:rsidRDefault="0027081E" w:rsidP="0027081E">
            <w:pPr>
              <w:jc w:val="center"/>
              <w:rPr>
                <w:lang w:val="en-CA"/>
              </w:rPr>
            </w:pPr>
            <w:r w:rsidRPr="001E26DB">
              <w:rPr>
                <w:lang w:val="en-CA"/>
              </w:rPr>
              <w:t>JUDGMENT</w:t>
            </w:r>
          </w:p>
          <w:p w:rsidR="0027081E" w:rsidRPr="001E26DB" w:rsidRDefault="0027081E" w:rsidP="0027081E">
            <w:pPr>
              <w:jc w:val="center"/>
              <w:rPr>
                <w:lang w:val="en-CA"/>
              </w:rPr>
            </w:pPr>
          </w:p>
          <w:p w:rsidR="00824412" w:rsidRPr="001E26DB" w:rsidRDefault="0027081E" w:rsidP="00E92114">
            <w:pPr>
              <w:jc w:val="both"/>
              <w:rPr>
                <w:lang w:val="en-CA"/>
              </w:rPr>
            </w:pPr>
            <w:r w:rsidRPr="001E26DB">
              <w:rPr>
                <w:lang w:val="en-CA"/>
              </w:rPr>
              <w:t>The application for leave to appeal from the judgment of the</w:t>
            </w:r>
            <w:bookmarkStart w:id="1" w:name="BM_1_"/>
            <w:bookmarkEnd w:id="1"/>
            <w:r w:rsidRPr="001E26DB">
              <w:rPr>
                <w:lang w:val="en-CA"/>
              </w:rPr>
              <w:t xml:space="preserve"> </w:t>
            </w:r>
            <w:r w:rsidRPr="00AB7C63">
              <w:rPr>
                <w:lang w:val="en-US"/>
              </w:rPr>
              <w:t>Court of Appeal of Quebec (Montréal)</w:t>
            </w:r>
            <w:r w:rsidRPr="001E26DB">
              <w:rPr>
                <w:lang w:val="en-CA"/>
              </w:rPr>
              <w:t>, Number</w:t>
            </w:r>
            <w:r w:rsidR="00AB7C63">
              <w:rPr>
                <w:lang w:val="en-CA"/>
              </w:rPr>
              <w:t>s</w:t>
            </w:r>
            <w:r w:rsidRPr="001E26DB">
              <w:rPr>
                <w:lang w:val="en-CA"/>
              </w:rPr>
              <w:t xml:space="preserve"> </w:t>
            </w:r>
            <w:r w:rsidRPr="00AB7C63">
              <w:rPr>
                <w:lang w:val="en-US"/>
              </w:rPr>
              <w:t>500-09-018359-083</w:t>
            </w:r>
            <w:r w:rsidR="00AB7C63">
              <w:rPr>
                <w:lang w:val="en-US"/>
              </w:rPr>
              <w:t xml:space="preserve"> and </w:t>
            </w:r>
            <w:r w:rsidR="00AB7C63" w:rsidRPr="00AB7C63">
              <w:rPr>
                <w:lang w:val="en-US"/>
              </w:rPr>
              <w:t>500-09-018358-085</w:t>
            </w:r>
            <w:r w:rsidR="00AB7C63" w:rsidRPr="001E26DB">
              <w:rPr>
                <w:lang w:val="en-CA"/>
              </w:rPr>
              <w:t>,</w:t>
            </w:r>
            <w:r w:rsidRPr="00AB7C63">
              <w:rPr>
                <w:lang w:val="en-US"/>
              </w:rPr>
              <w:t xml:space="preserve"> 2010 QCCA 1496, </w:t>
            </w:r>
            <w:r w:rsidRPr="001E26DB">
              <w:rPr>
                <w:lang w:val="en-CA"/>
              </w:rPr>
              <w:lastRenderedPageBreak/>
              <w:t xml:space="preserve">dated </w:t>
            </w:r>
            <w:r w:rsidRPr="00AB7C63">
              <w:rPr>
                <w:lang w:val="en-US"/>
              </w:rPr>
              <w:t>August 18, 2010</w:t>
            </w:r>
            <w:r w:rsidR="00AB7C63">
              <w:rPr>
                <w:lang w:val="en-US"/>
              </w:rPr>
              <w:t>,</w:t>
            </w:r>
            <w:r w:rsidRPr="001E26DB">
              <w:rPr>
                <w:lang w:val="en-CA"/>
              </w:rPr>
              <w:t xml:space="preserve"> is </w:t>
            </w:r>
            <w:r w:rsidR="00AB7C63">
              <w:rPr>
                <w:lang w:val="en-CA"/>
              </w:rPr>
              <w:t>dismissed with costs</w:t>
            </w:r>
            <w:r w:rsidRPr="001E26DB">
              <w:rPr>
                <w:lang w:val="en-CA"/>
              </w:rPr>
              <w:t>.</w:t>
            </w:r>
            <w:r w:rsidR="00011960" w:rsidRPr="001E26DB">
              <w:rPr>
                <w:lang w:val="en-CA"/>
              </w:rPr>
              <w:t xml:space="preserve"> </w:t>
            </w:r>
          </w:p>
        </w:tc>
      </w:tr>
    </w:tbl>
    <w:p w:rsidR="009F436C" w:rsidRPr="002C29B6" w:rsidRDefault="009F436C" w:rsidP="00382FEC">
      <w:pPr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9F436C" w:rsidRPr="002C29B6" w:rsidRDefault="009F436C" w:rsidP="00417FB7">
      <w:pPr>
        <w:jc w:val="center"/>
        <w:rPr>
          <w:lang w:val="en-US"/>
        </w:rPr>
      </w:pPr>
    </w:p>
    <w:p w:rsidR="00655333" w:rsidRDefault="00655333" w:rsidP="00655333">
      <w:pPr>
        <w:jc w:val="center"/>
        <w:rPr>
          <w:lang w:val="en-US"/>
        </w:rPr>
      </w:pPr>
    </w:p>
    <w:p w:rsidR="00AB7C63" w:rsidRDefault="00AB7C63" w:rsidP="00655333">
      <w:pPr>
        <w:jc w:val="center"/>
        <w:rPr>
          <w:lang w:val="en-US"/>
        </w:rPr>
      </w:pPr>
    </w:p>
    <w:p w:rsidR="00AB7C63" w:rsidRPr="00AB7C63" w:rsidRDefault="00AB7C63" w:rsidP="00655333">
      <w:pPr>
        <w:jc w:val="center"/>
        <w:rPr>
          <w:lang w:val="en-US"/>
        </w:rPr>
      </w:pPr>
    </w:p>
    <w:p w:rsidR="00655333" w:rsidRPr="002C29B6" w:rsidRDefault="00655333" w:rsidP="00655333">
      <w:pPr>
        <w:jc w:val="center"/>
        <w:rPr>
          <w:lang w:val="en-US"/>
        </w:rPr>
      </w:pPr>
      <w:r w:rsidRPr="002C29B6">
        <w:rPr>
          <w:lang w:val="en-US"/>
        </w:rPr>
        <w:t>J.C.S.C.</w:t>
      </w:r>
    </w:p>
    <w:p w:rsidR="009F436C" w:rsidRPr="00AB7C63" w:rsidRDefault="00655333" w:rsidP="00655333">
      <w:pPr>
        <w:jc w:val="center"/>
        <w:rPr>
          <w:lang w:val="en-US"/>
        </w:rPr>
      </w:pPr>
      <w:r w:rsidRPr="00AB7C63">
        <w:rPr>
          <w:lang w:val="en-US"/>
        </w:rPr>
        <w:t>J.S.C.C.</w:t>
      </w:r>
    </w:p>
    <w:sectPr w:rsidR="009F436C" w:rsidRPr="00AB7C63" w:rsidSect="00401B64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440" w:bottom="1440" w:left="1440" w:header="1440" w:footer="144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78C2" w:rsidRDefault="000978C2">
      <w:r>
        <w:separator/>
      </w:r>
    </w:p>
  </w:endnote>
  <w:endnote w:type="continuationSeparator" w:id="0">
    <w:p w:rsidR="000978C2" w:rsidRDefault="000978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Pieddepag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78C2" w:rsidRDefault="000978C2">
      <w:r>
        <w:separator/>
      </w:r>
    </w:p>
  </w:footnote>
  <w:footnote w:type="continuationSeparator" w:id="0">
    <w:p w:rsidR="000978C2" w:rsidRDefault="000978C2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01B64" w:rsidRDefault="00401B64" w:rsidP="00401B64">
    <w:pPr>
      <w:tabs>
        <w:tab w:val="center" w:pos="4680"/>
      </w:tabs>
      <w:jc w:val="center"/>
      <w:rPr>
        <w:szCs w:val="24"/>
      </w:rPr>
    </w:pPr>
    <w:r>
      <w:rPr>
        <w:szCs w:val="24"/>
      </w:rPr>
      <w:t xml:space="preserve">- </w:t>
    </w:r>
    <w:r w:rsidR="006F22C5" w:rsidRPr="00417FB7">
      <w:rPr>
        <w:szCs w:val="24"/>
      </w:rPr>
      <w:fldChar w:fldCharType="begin"/>
    </w:r>
    <w:r w:rsidRPr="00417FB7">
      <w:rPr>
        <w:szCs w:val="24"/>
      </w:rPr>
      <w:instrText xml:space="preserve"> PAGE   \* MERGEFORMAT </w:instrText>
    </w:r>
    <w:r w:rsidR="006F22C5" w:rsidRPr="00417FB7">
      <w:rPr>
        <w:szCs w:val="24"/>
      </w:rPr>
      <w:fldChar w:fldCharType="separate"/>
    </w:r>
    <w:r w:rsidR="008A4AF2">
      <w:rPr>
        <w:noProof/>
        <w:szCs w:val="24"/>
      </w:rPr>
      <w:t>2</w:t>
    </w:r>
    <w:r w:rsidR="006F22C5" w:rsidRPr="00417FB7">
      <w:rPr>
        <w:szCs w:val="24"/>
      </w:rPr>
      <w:fldChar w:fldCharType="end"/>
    </w:r>
    <w:r>
      <w:rPr>
        <w:szCs w:val="24"/>
      </w:rPr>
      <w:t xml:space="preserve"> -</w:t>
    </w:r>
  </w:p>
  <w:p w:rsidR="00401B64" w:rsidRDefault="00401B64" w:rsidP="00401B64">
    <w:pPr>
      <w:rPr>
        <w:szCs w:val="24"/>
      </w:rPr>
    </w:pPr>
  </w:p>
  <w:p w:rsidR="00401B64" w:rsidRDefault="00401B64" w:rsidP="00401B64">
    <w:pPr>
      <w:rPr>
        <w:szCs w:val="24"/>
      </w:rPr>
    </w:pPr>
  </w:p>
  <w:p w:rsidR="00401B64" w:rsidRDefault="00BD2A96" w:rsidP="00401B64">
    <w:pPr>
      <w:tabs>
        <w:tab w:val="right" w:pos="9360"/>
      </w:tabs>
      <w:jc w:val="right"/>
      <w:rPr>
        <w:szCs w:val="24"/>
      </w:rPr>
    </w:pPr>
    <w:r>
      <w:rPr>
        <w:szCs w:val="24"/>
      </w:rPr>
      <w:t>N</w:t>
    </w:r>
    <w:r>
      <w:rPr>
        <w:szCs w:val="24"/>
        <w:vertAlign w:val="superscript"/>
      </w:rPr>
      <w:t>o</w:t>
    </w:r>
    <w:r w:rsidR="00401B64">
      <w:rPr>
        <w:szCs w:val="24"/>
      </w:rPr>
      <w:t xml:space="preserve"> </w:t>
    </w:r>
    <w:r>
      <w:t>33906</w:t>
    </w:r>
    <w:r w:rsidR="00401B64">
      <w:rPr>
        <w:szCs w:val="24"/>
      </w:rPr>
      <w:t>     </w:t>
    </w:r>
  </w:p>
  <w:p w:rsidR="00401B64" w:rsidRDefault="00401B64" w:rsidP="00401B64">
    <w:pPr>
      <w:rPr>
        <w:szCs w:val="24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672C" w:rsidRDefault="0064672C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defaultTabStop w:val="720"/>
  <w:hyphenationZone w:val="936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hdrShapeDefaults>
    <o:shapedefaults v:ext="edit" spidmax="51201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79129C"/>
    <w:rsid w:val="00011960"/>
    <w:rsid w:val="00014928"/>
    <w:rsid w:val="0002577E"/>
    <w:rsid w:val="0003701B"/>
    <w:rsid w:val="0004338D"/>
    <w:rsid w:val="00057FAF"/>
    <w:rsid w:val="000919B4"/>
    <w:rsid w:val="000975EE"/>
    <w:rsid w:val="000978C2"/>
    <w:rsid w:val="000B76FF"/>
    <w:rsid w:val="000D7521"/>
    <w:rsid w:val="000E4CCE"/>
    <w:rsid w:val="00181046"/>
    <w:rsid w:val="00184240"/>
    <w:rsid w:val="00195E00"/>
    <w:rsid w:val="001A1CE1"/>
    <w:rsid w:val="001D0116"/>
    <w:rsid w:val="001D4323"/>
    <w:rsid w:val="001E26DB"/>
    <w:rsid w:val="002030E6"/>
    <w:rsid w:val="00203642"/>
    <w:rsid w:val="00215653"/>
    <w:rsid w:val="0027081E"/>
    <w:rsid w:val="002B5FA6"/>
    <w:rsid w:val="002C29B6"/>
    <w:rsid w:val="0031097F"/>
    <w:rsid w:val="0031165C"/>
    <w:rsid w:val="00311ACE"/>
    <w:rsid w:val="00374E7D"/>
    <w:rsid w:val="00375294"/>
    <w:rsid w:val="00382FEC"/>
    <w:rsid w:val="00385A90"/>
    <w:rsid w:val="003A37CF"/>
    <w:rsid w:val="003B1F3D"/>
    <w:rsid w:val="003B7760"/>
    <w:rsid w:val="003C744C"/>
    <w:rsid w:val="003D7CE6"/>
    <w:rsid w:val="00401B64"/>
    <w:rsid w:val="00414694"/>
    <w:rsid w:val="00417FB7"/>
    <w:rsid w:val="00430004"/>
    <w:rsid w:val="004943CF"/>
    <w:rsid w:val="004956DA"/>
    <w:rsid w:val="00504B7F"/>
    <w:rsid w:val="00524C94"/>
    <w:rsid w:val="00563E2C"/>
    <w:rsid w:val="005873F3"/>
    <w:rsid w:val="00587869"/>
    <w:rsid w:val="005918AD"/>
    <w:rsid w:val="005B69C9"/>
    <w:rsid w:val="00614908"/>
    <w:rsid w:val="0064672C"/>
    <w:rsid w:val="00650109"/>
    <w:rsid w:val="00655333"/>
    <w:rsid w:val="006935F7"/>
    <w:rsid w:val="006C1359"/>
    <w:rsid w:val="006F22C5"/>
    <w:rsid w:val="00701109"/>
    <w:rsid w:val="007372EA"/>
    <w:rsid w:val="0076003F"/>
    <w:rsid w:val="007816CA"/>
    <w:rsid w:val="0079129C"/>
    <w:rsid w:val="007A54CC"/>
    <w:rsid w:val="007F41D5"/>
    <w:rsid w:val="00816B78"/>
    <w:rsid w:val="00823BF1"/>
    <w:rsid w:val="00824412"/>
    <w:rsid w:val="008262A3"/>
    <w:rsid w:val="00830BBE"/>
    <w:rsid w:val="0086042A"/>
    <w:rsid w:val="008813BC"/>
    <w:rsid w:val="008A153F"/>
    <w:rsid w:val="008A4AF2"/>
    <w:rsid w:val="008A78BE"/>
    <w:rsid w:val="008B5590"/>
    <w:rsid w:val="008D6351"/>
    <w:rsid w:val="008F4A07"/>
    <w:rsid w:val="00951EF6"/>
    <w:rsid w:val="0096638C"/>
    <w:rsid w:val="00971A08"/>
    <w:rsid w:val="00995343"/>
    <w:rsid w:val="009D45DF"/>
    <w:rsid w:val="009E0F71"/>
    <w:rsid w:val="009E7A46"/>
    <w:rsid w:val="009F436C"/>
    <w:rsid w:val="00A03153"/>
    <w:rsid w:val="00A103E3"/>
    <w:rsid w:val="00A14904"/>
    <w:rsid w:val="00AB5E22"/>
    <w:rsid w:val="00AB7C63"/>
    <w:rsid w:val="00AE2077"/>
    <w:rsid w:val="00AF1D29"/>
    <w:rsid w:val="00B37AA5"/>
    <w:rsid w:val="00B408F8"/>
    <w:rsid w:val="00B41C8D"/>
    <w:rsid w:val="00B5078E"/>
    <w:rsid w:val="00B60EDC"/>
    <w:rsid w:val="00BA7D71"/>
    <w:rsid w:val="00BD2A96"/>
    <w:rsid w:val="00BE655E"/>
    <w:rsid w:val="00BF7644"/>
    <w:rsid w:val="00C2612E"/>
    <w:rsid w:val="00C609B7"/>
    <w:rsid w:val="00CF2E5D"/>
    <w:rsid w:val="00D26BFF"/>
    <w:rsid w:val="00D42339"/>
    <w:rsid w:val="00D61AC2"/>
    <w:rsid w:val="00D652D6"/>
    <w:rsid w:val="00DE063A"/>
    <w:rsid w:val="00E12A51"/>
    <w:rsid w:val="00E777AD"/>
    <w:rsid w:val="00E81C0B"/>
    <w:rsid w:val="00E83C84"/>
    <w:rsid w:val="00E92114"/>
    <w:rsid w:val="00EA4B61"/>
    <w:rsid w:val="00F06BF6"/>
    <w:rsid w:val="00F1759D"/>
    <w:rsid w:val="00F4094A"/>
    <w:rsid w:val="00F40FBF"/>
    <w:rsid w:val="00F47372"/>
    <w:rsid w:val="00F5034C"/>
    <w:rsid w:val="00F70D4F"/>
    <w:rsid w:val="00F76E97"/>
    <w:rsid w:val="00F84E07"/>
    <w:rsid w:val="00FD4F58"/>
    <w:rsid w:val="00FF2D42"/>
    <w:rsid w:val="00FF500D"/>
    <w:rsid w:val="00FF61C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51201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CA" w:eastAsia="en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7CE6"/>
    <w:pPr>
      <w:spacing w:after="0" w:line="240" w:lineRule="auto"/>
    </w:pPr>
    <w:rPr>
      <w:rFonts w:ascii="Times New Roman" w:eastAsiaTheme="minorHAnsi" w:hAnsi="Times New Roman"/>
      <w:sz w:val="24"/>
      <w:lang w:val="fr-CA" w:eastAsia="en-US"/>
    </w:rPr>
  </w:style>
  <w:style w:type="paragraph" w:styleId="Titre2">
    <w:name w:val="heading 2"/>
    <w:basedOn w:val="Normal"/>
    <w:next w:val="Normal"/>
    <w:link w:val="Titre2Car"/>
    <w:uiPriority w:val="9"/>
    <w:semiHidden/>
    <w:unhideWhenUsed/>
    <w:rsid w:val="002B5FA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2Car">
    <w:name w:val="Titre 2 Car"/>
    <w:basedOn w:val="Policepardfaut"/>
    <w:link w:val="Titre2"/>
    <w:uiPriority w:val="9"/>
    <w:semiHidden/>
    <w:rsid w:val="002B5FA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en-US"/>
    </w:rPr>
  </w:style>
  <w:style w:type="paragraph" w:customStyle="1" w:styleId="SCCLsocParty">
    <w:name w:val="SCC.Lsoc.Party"/>
    <w:basedOn w:val="Normal"/>
    <w:next w:val="Normal"/>
    <w:link w:val="SCCLsocPartyChar"/>
    <w:rsid w:val="002B5FA6"/>
    <w:pPr>
      <w:jc w:val="center"/>
    </w:pPr>
  </w:style>
  <w:style w:type="character" w:customStyle="1" w:styleId="SCCLsocPartyChar">
    <w:name w:val="SCC.Lsoc.Party Char"/>
    <w:basedOn w:val="Policepardfaut"/>
    <w:link w:val="SCCLsocParty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artyRole">
    <w:name w:val="SCC.Lsoc.PartyRole"/>
    <w:basedOn w:val="Normal"/>
    <w:next w:val="Normal"/>
    <w:link w:val="SCCLsocPartyRoleChar"/>
    <w:rsid w:val="002B5FA6"/>
    <w:pPr>
      <w:jc w:val="center"/>
    </w:pPr>
  </w:style>
  <w:style w:type="character" w:customStyle="1" w:styleId="SCCLsocPartyRoleChar">
    <w:name w:val="SCC.Lsoc.PartyRole Char"/>
    <w:basedOn w:val="Policepardfaut"/>
    <w:link w:val="SCCLsocPartyRole"/>
    <w:rsid w:val="002B5FA6"/>
    <w:rPr>
      <w:rFonts w:ascii="Times New Roman" w:eastAsiaTheme="minorHAnsi" w:hAnsi="Times New Roman"/>
      <w:sz w:val="24"/>
      <w:lang w:eastAsia="en-US"/>
    </w:rPr>
  </w:style>
  <w:style w:type="paragraph" w:customStyle="1" w:styleId="SCCLsocPrefix">
    <w:name w:val="SCC.Lsoc.Prefix"/>
    <w:basedOn w:val="Normal"/>
    <w:next w:val="Normal"/>
    <w:link w:val="SCCLsocPrefixChar"/>
    <w:rsid w:val="00057FAF"/>
    <w:rPr>
      <w:b/>
    </w:rPr>
  </w:style>
  <w:style w:type="character" w:customStyle="1" w:styleId="SCCLsocPrefixChar">
    <w:name w:val="SCC.Lsoc.Prefix Char"/>
    <w:basedOn w:val="Policepardfaut"/>
    <w:link w:val="SCCLsocPrefix"/>
    <w:rsid w:val="00057FAF"/>
    <w:rPr>
      <w:rFonts w:ascii="Times New Roman" w:eastAsiaTheme="minorHAnsi" w:hAnsi="Times New Roman"/>
      <w:b/>
      <w:sz w:val="24"/>
      <w:lang w:eastAsia="en-US"/>
    </w:rPr>
  </w:style>
  <w:style w:type="paragraph" w:customStyle="1" w:styleId="SCCLsocSubfileSeparator">
    <w:name w:val="SCC.Lsoc.SubfileSeparator"/>
    <w:basedOn w:val="Normal"/>
    <w:next w:val="Normal"/>
    <w:link w:val="SCCLsocSubfileSeparatorChar"/>
    <w:rsid w:val="00057FAF"/>
    <w:rPr>
      <w:rFonts w:cs="Times New Roman"/>
      <w:b/>
      <w:szCs w:val="24"/>
    </w:rPr>
  </w:style>
  <w:style w:type="character" w:customStyle="1" w:styleId="SCCLsocSubfileSeparatorChar">
    <w:name w:val="SCC.Lsoc.SubfileSeparator Char"/>
    <w:basedOn w:val="Policepardfaut"/>
    <w:link w:val="SCCLsocSubfileSeparator"/>
    <w:rsid w:val="00057FAF"/>
    <w:rPr>
      <w:rFonts w:ascii="Times New Roman" w:eastAsiaTheme="minorHAnsi" w:hAnsi="Times New Roman" w:cs="Times New Roman"/>
      <w:b/>
      <w:sz w:val="24"/>
      <w:szCs w:val="24"/>
      <w:lang w:eastAsia="en-US"/>
    </w:rPr>
  </w:style>
  <w:style w:type="paragraph" w:customStyle="1" w:styleId="SCCLsocVersus">
    <w:name w:val="SCC.Lsoc.Versus"/>
    <w:basedOn w:val="Normal"/>
    <w:next w:val="Normal"/>
    <w:link w:val="SCCLsocVersusChar"/>
    <w:rsid w:val="002B5FA6"/>
    <w:pPr>
      <w:jc w:val="center"/>
    </w:pPr>
  </w:style>
  <w:style w:type="character" w:customStyle="1" w:styleId="SCCLsocVersusChar">
    <w:name w:val="SCC.Lsoc.Versus Char"/>
    <w:basedOn w:val="Policepardfaut"/>
    <w:link w:val="SCCLsocVersus"/>
    <w:rsid w:val="002B5FA6"/>
    <w:rPr>
      <w:rFonts w:ascii="Times New Roman" w:eastAsiaTheme="minorHAnsi" w:hAnsi="Times New Roman"/>
      <w:sz w:val="24"/>
      <w:lang w:eastAsia="en-US"/>
    </w:rPr>
  </w:style>
  <w:style w:type="paragraph" w:styleId="Sansinterligne">
    <w:name w:val="No Spacing"/>
    <w:uiPriority w:val="1"/>
    <w:rsid w:val="00D42339"/>
    <w:pPr>
      <w:spacing w:after="0" w:line="240" w:lineRule="auto"/>
    </w:pPr>
    <w:rPr>
      <w:rFonts w:ascii="Times New Roman" w:eastAsiaTheme="minorHAnsi" w:hAnsi="Times New Roman"/>
      <w:sz w:val="24"/>
      <w:lang w:eastAsia="en-US"/>
    </w:rPr>
  </w:style>
  <w:style w:type="paragraph" w:styleId="En-tte">
    <w:name w:val="header"/>
    <w:basedOn w:val="Normal"/>
    <w:link w:val="En-tt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En-tteCar">
    <w:name w:val="En-tête Car"/>
    <w:basedOn w:val="Policepardfaut"/>
    <w:link w:val="En-tt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paragraph" w:styleId="Pieddepage">
    <w:name w:val="footer"/>
    <w:basedOn w:val="Normal"/>
    <w:link w:val="PieddepageCar"/>
    <w:uiPriority w:val="99"/>
    <w:semiHidden/>
    <w:unhideWhenUsed/>
    <w:rsid w:val="00417FB7"/>
    <w:pPr>
      <w:tabs>
        <w:tab w:val="center" w:pos="4680"/>
        <w:tab w:val="right" w:pos="9360"/>
      </w:tabs>
    </w:pPr>
  </w:style>
  <w:style w:type="character" w:customStyle="1" w:styleId="PieddepageCar">
    <w:name w:val="Pied de page Car"/>
    <w:basedOn w:val="Policepardfaut"/>
    <w:link w:val="Pieddepage"/>
    <w:uiPriority w:val="99"/>
    <w:semiHidden/>
    <w:rsid w:val="00417FB7"/>
    <w:rPr>
      <w:rFonts w:ascii="Times New Roman" w:hAnsi="Times New Roman" w:cs="Times New Roman"/>
      <w:sz w:val="20"/>
      <w:szCs w:val="20"/>
    </w:rPr>
  </w:style>
  <w:style w:type="character" w:styleId="Textedelespacerserv">
    <w:name w:val="Placeholder Text"/>
    <w:basedOn w:val="Policepardfaut"/>
    <w:uiPriority w:val="99"/>
    <w:semiHidden/>
    <w:rsid w:val="00D61AC2"/>
    <w:rPr>
      <w:color w:val="808080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D61AC2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61AC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CA" w:eastAsia="fr-CA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C50766B-5F19-4718-BF34-6823DAB383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174</Words>
  <Characters>1043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SCC-CSC</dc:creator>
  <cp:keywords/>
  <dc:description/>
  <cp:lastModifiedBy>adamm</cp:lastModifiedBy>
  <cp:revision>7</cp:revision>
  <dcterms:created xsi:type="dcterms:W3CDTF">2011-02-25T16:17:00Z</dcterms:created>
  <dcterms:modified xsi:type="dcterms:W3CDTF">2011-03-28T18:19:00Z</dcterms:modified>
</cp:coreProperties>
</file>