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7224E1">
      <w:pPr>
        <w:jc w:val="right"/>
      </w:pPr>
      <w:r w:rsidRPr="006E7BAE">
        <w:t xml:space="preserve">No. </w:t>
      </w:r>
      <w:r>
        <w:t>34171</w:t>
      </w:r>
      <w:r w:rsidR="0016666F" w:rsidRPr="006E7BAE">
        <w:t>     </w:t>
      </w:r>
    </w:p>
    <w:p w:rsidR="002568D3" w:rsidRPr="006E7BAE" w:rsidRDefault="002568D3" w:rsidP="00382FEC"/>
    <w:tbl>
      <w:tblPr>
        <w:tblW w:w="5184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20"/>
        <w:gridCol w:w="721"/>
        <w:gridCol w:w="4424"/>
      </w:tblGrid>
      <w:tr w:rsidR="00417FB7" w:rsidRPr="006E7BAE" w:rsidTr="00D1515B">
        <w:tc>
          <w:tcPr>
            <w:tcW w:w="2366" w:type="pct"/>
          </w:tcPr>
          <w:p w:rsidR="00417FB7" w:rsidRPr="006E7BAE" w:rsidRDefault="00D1515B" w:rsidP="008262A3">
            <w:r>
              <w:t>June 9</w:t>
            </w:r>
            <w:r w:rsidR="00EE2A6C">
              <w:t>, 2011</w:t>
            </w:r>
          </w:p>
        </w:tc>
        <w:tc>
          <w:tcPr>
            <w:tcW w:w="369" w:type="pct"/>
          </w:tcPr>
          <w:p w:rsidR="00417FB7" w:rsidRPr="006E7BAE" w:rsidRDefault="00417FB7" w:rsidP="00382FEC"/>
        </w:tc>
        <w:tc>
          <w:tcPr>
            <w:tcW w:w="2266" w:type="pct"/>
          </w:tcPr>
          <w:p w:rsidR="00417FB7" w:rsidRPr="00D83B8C" w:rsidRDefault="00EE2A6C" w:rsidP="00D1515B">
            <w:pPr>
              <w:rPr>
                <w:lang w:val="en-US"/>
              </w:rPr>
            </w:pPr>
            <w:r>
              <w:t xml:space="preserve">Le </w:t>
            </w:r>
            <w:r w:rsidR="00D1515B">
              <w:t xml:space="preserve">9 </w:t>
            </w:r>
            <w:proofErr w:type="spellStart"/>
            <w:r w:rsidR="00D1515B">
              <w:t>juin</w:t>
            </w:r>
            <w:proofErr w:type="spellEnd"/>
            <w:r>
              <w:t xml:space="preserve"> 2011</w:t>
            </w:r>
          </w:p>
        </w:tc>
      </w:tr>
      <w:tr w:rsidR="00E12A51" w:rsidRPr="006E7BAE" w:rsidTr="00D1515B">
        <w:tc>
          <w:tcPr>
            <w:tcW w:w="2366" w:type="pct"/>
          </w:tcPr>
          <w:p w:rsidR="00C2612E" w:rsidRPr="006E7BAE" w:rsidRDefault="00C2612E" w:rsidP="008262A3"/>
        </w:tc>
        <w:tc>
          <w:tcPr>
            <w:tcW w:w="369" w:type="pct"/>
          </w:tcPr>
          <w:p w:rsidR="00E12A51" w:rsidRPr="006E7BAE" w:rsidRDefault="00E12A51" w:rsidP="00382FEC"/>
        </w:tc>
        <w:tc>
          <w:tcPr>
            <w:tcW w:w="226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D1515B">
        <w:tc>
          <w:tcPr>
            <w:tcW w:w="2366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69" w:type="pct"/>
          </w:tcPr>
          <w:p w:rsidR="00417FB7" w:rsidRPr="006E7BAE" w:rsidRDefault="00417FB7" w:rsidP="00382FEC"/>
        </w:tc>
        <w:tc>
          <w:tcPr>
            <w:tcW w:w="226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D1515B">
        <w:tc>
          <w:tcPr>
            <w:tcW w:w="2366" w:type="pct"/>
          </w:tcPr>
          <w:p w:rsidR="00C2612E" w:rsidRPr="006E7BAE" w:rsidRDefault="00C2612E" w:rsidP="008262A3"/>
        </w:tc>
        <w:tc>
          <w:tcPr>
            <w:tcW w:w="369" w:type="pct"/>
          </w:tcPr>
          <w:p w:rsidR="00C2612E" w:rsidRPr="006E7BAE" w:rsidRDefault="00C2612E" w:rsidP="00382FEC"/>
        </w:tc>
        <w:tc>
          <w:tcPr>
            <w:tcW w:w="226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D1515B" w:rsidRPr="006E7BAE" w:rsidTr="00D1515B">
        <w:tc>
          <w:tcPr>
            <w:tcW w:w="2366" w:type="pct"/>
          </w:tcPr>
          <w:p w:rsidR="00D1515B" w:rsidRDefault="00D1515B" w:rsidP="00D1515B">
            <w:pPr>
              <w:pStyle w:val="SCCLsocPrefix"/>
            </w:pPr>
          </w:p>
          <w:p w:rsidR="00D1515B" w:rsidRDefault="00D1515B" w:rsidP="00D1515B">
            <w:pPr>
              <w:pStyle w:val="SCCLsocPrefix"/>
            </w:pPr>
            <w:r>
              <w:t>BETWEEN:</w:t>
            </w:r>
            <w:r>
              <w:br/>
            </w:r>
          </w:p>
          <w:p w:rsidR="00D1515B" w:rsidRDefault="00D1515B" w:rsidP="00D1515B">
            <w:pPr>
              <w:pStyle w:val="SCCLsocParty"/>
              <w:ind w:right="-104"/>
            </w:pPr>
            <w:r>
              <w:t>Dissenting Nortel LTD Beneficiaries</w:t>
            </w:r>
            <w:r>
              <w:br/>
            </w:r>
          </w:p>
          <w:p w:rsidR="00D1515B" w:rsidRDefault="00D1515B" w:rsidP="00D1515B">
            <w:pPr>
              <w:pStyle w:val="SCCLsocPartyRole"/>
            </w:pPr>
            <w:r>
              <w:t>Applicant</w:t>
            </w:r>
            <w:r w:rsidR="00E610B9">
              <w:t>s</w:t>
            </w:r>
            <w:r>
              <w:br/>
            </w:r>
          </w:p>
          <w:p w:rsidR="00D1515B" w:rsidRDefault="00D1515B" w:rsidP="00D1515B">
            <w:pPr>
              <w:pStyle w:val="SCCLsocVersus"/>
            </w:pPr>
            <w:r>
              <w:t>- and -</w:t>
            </w:r>
            <w:r>
              <w:br/>
            </w:r>
          </w:p>
          <w:p w:rsidR="00DC34A5" w:rsidRDefault="00D1515B" w:rsidP="00DC34A5">
            <w:pPr>
              <w:pStyle w:val="SCCLsocParty"/>
            </w:pPr>
            <w:r>
              <w:t xml:space="preserve">Nortel Networks Corporation, Nortel Networks Limited, Nortel Networks Global Corporation, Nortel Networks International Corporation and Nortel Networks Technology Corporation, Monitor, Ernst &amp; Young Inc., Former Employees’ Representatives, Nortel Canadian Continuing Employees, Informal Nortel </w:t>
            </w:r>
            <w:proofErr w:type="spellStart"/>
            <w:r>
              <w:t>Noteholder</w:t>
            </w:r>
            <w:proofErr w:type="spellEnd"/>
            <w:r>
              <w:t xml:space="preserve"> Group, CAW-Canada and George </w:t>
            </w:r>
            <w:proofErr w:type="spellStart"/>
            <w:r>
              <w:t>Borosh</w:t>
            </w:r>
            <w:proofErr w:type="spellEnd"/>
            <w:r>
              <w:t>, et al. and LTD Beneficiaries’ Representative</w:t>
            </w:r>
            <w:r>
              <w:br/>
            </w:r>
          </w:p>
          <w:p w:rsidR="00DC34A5" w:rsidRPr="006E7BAE" w:rsidRDefault="00DC34A5" w:rsidP="00DC34A5">
            <w:pPr>
              <w:pStyle w:val="SCCLsocParty"/>
            </w:pPr>
            <w:r>
              <w:t>Respondents</w:t>
            </w:r>
          </w:p>
          <w:p w:rsidR="00D1515B" w:rsidRPr="006E7BAE" w:rsidRDefault="00D1515B" w:rsidP="00D1515B">
            <w:pPr>
              <w:jc w:val="center"/>
            </w:pPr>
          </w:p>
        </w:tc>
        <w:tc>
          <w:tcPr>
            <w:tcW w:w="369" w:type="pct"/>
          </w:tcPr>
          <w:p w:rsidR="00D1515B" w:rsidRPr="006E7BAE" w:rsidRDefault="00D1515B" w:rsidP="00382FEC"/>
        </w:tc>
        <w:tc>
          <w:tcPr>
            <w:tcW w:w="2266" w:type="pct"/>
            <w:vAlign w:val="center"/>
          </w:tcPr>
          <w:p w:rsidR="00D1515B" w:rsidRDefault="00D1515B" w:rsidP="00D1515B">
            <w:pPr>
              <w:pStyle w:val="SCCLsocPrefix"/>
            </w:pPr>
            <w:r>
              <w:t>ENTRE :</w:t>
            </w:r>
            <w:r>
              <w:br/>
            </w:r>
          </w:p>
          <w:p w:rsidR="00D1515B" w:rsidRDefault="00D1515B" w:rsidP="00D46904">
            <w:pPr>
              <w:pStyle w:val="SCCLsocParty"/>
            </w:pPr>
            <w:r>
              <w:t>Dissenting Nortel LTD Beneficiaries</w:t>
            </w:r>
            <w:r>
              <w:br/>
            </w:r>
          </w:p>
          <w:p w:rsidR="00D1515B" w:rsidRDefault="00D1515B" w:rsidP="00D46904">
            <w:pPr>
              <w:pStyle w:val="SCCLsocPartyRole"/>
            </w:pPr>
            <w:proofErr w:type="spellStart"/>
            <w:r>
              <w:t>Demanderesse</w:t>
            </w:r>
            <w:r w:rsidR="00E610B9">
              <w:t>s</w:t>
            </w:r>
            <w:proofErr w:type="spellEnd"/>
            <w:r>
              <w:br/>
            </w:r>
          </w:p>
          <w:p w:rsidR="00D1515B" w:rsidRDefault="00D1515B" w:rsidP="00D46904">
            <w:pPr>
              <w:pStyle w:val="SCCLsocVersus"/>
            </w:pPr>
            <w:r>
              <w:t>- et -</w:t>
            </w:r>
            <w:r>
              <w:br/>
            </w:r>
          </w:p>
          <w:p w:rsidR="00D1515B" w:rsidRDefault="00D1515B" w:rsidP="00D46904">
            <w:pPr>
              <w:pStyle w:val="SCCLsocParty"/>
            </w:pPr>
            <w:r>
              <w:t xml:space="preserve">Nortel Networks Corporation, Nortel Networks Limited, Nortel Networks Global Corporation, Nortel Networks International Corporation et Nortel Networks Technology Corporation, Monitor, Ernst &amp; Young Inc., Former Employees’ Representatives, Nortel Canadian Continuing Employees, Informal Nortel </w:t>
            </w:r>
            <w:proofErr w:type="spellStart"/>
            <w:r>
              <w:t>Noteholder</w:t>
            </w:r>
            <w:proofErr w:type="spellEnd"/>
            <w:r>
              <w:t xml:space="preserve"> Group, CAW-Canada et George </w:t>
            </w:r>
            <w:proofErr w:type="spellStart"/>
            <w:r>
              <w:t>Borosh</w:t>
            </w:r>
            <w:proofErr w:type="spellEnd"/>
            <w:r>
              <w:t>, et al. et LTD Beneficiaries’ Representative</w:t>
            </w:r>
            <w:r>
              <w:br/>
            </w:r>
          </w:p>
          <w:p w:rsidR="00D1515B" w:rsidRDefault="00D1515B" w:rsidP="00D1515B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D1515B" w:rsidRPr="006E7BAE" w:rsidTr="00D1515B">
        <w:tc>
          <w:tcPr>
            <w:tcW w:w="2366" w:type="pct"/>
            <w:vAlign w:val="center"/>
          </w:tcPr>
          <w:p w:rsidR="00D1515B" w:rsidRDefault="00D1515B">
            <w:pPr>
              <w:pStyle w:val="SCCLsocPartyRole"/>
            </w:pPr>
          </w:p>
        </w:tc>
        <w:tc>
          <w:tcPr>
            <w:tcW w:w="369" w:type="pct"/>
            <w:vAlign w:val="center"/>
          </w:tcPr>
          <w:p w:rsidR="00D1515B" w:rsidRPr="006E7BAE" w:rsidRDefault="00D1515B" w:rsidP="00375294"/>
        </w:tc>
        <w:tc>
          <w:tcPr>
            <w:tcW w:w="2266" w:type="pct"/>
            <w:vAlign w:val="center"/>
          </w:tcPr>
          <w:p w:rsidR="00D1515B" w:rsidRDefault="00D1515B">
            <w:pPr>
              <w:pStyle w:val="SCCLsocPartyRole"/>
            </w:pPr>
          </w:p>
        </w:tc>
      </w:tr>
      <w:tr w:rsidR="00D1515B" w:rsidRPr="006E7BAE" w:rsidTr="00D1515B">
        <w:tc>
          <w:tcPr>
            <w:tcW w:w="2366" w:type="pct"/>
            <w:vAlign w:val="center"/>
          </w:tcPr>
          <w:p w:rsidR="00D1515B" w:rsidRPr="006E7BAE" w:rsidRDefault="00D1515B" w:rsidP="00375294"/>
          <w:p w:rsidR="00D1515B" w:rsidRPr="006E7BAE" w:rsidRDefault="00D1515B" w:rsidP="00375294"/>
        </w:tc>
        <w:tc>
          <w:tcPr>
            <w:tcW w:w="369" w:type="pct"/>
            <w:vAlign w:val="center"/>
          </w:tcPr>
          <w:p w:rsidR="00D1515B" w:rsidRPr="006E7BAE" w:rsidRDefault="00D1515B" w:rsidP="00375294"/>
        </w:tc>
        <w:tc>
          <w:tcPr>
            <w:tcW w:w="2266" w:type="pct"/>
            <w:vAlign w:val="center"/>
          </w:tcPr>
          <w:p w:rsidR="00D1515B" w:rsidRPr="00D83B8C" w:rsidRDefault="00D1515B" w:rsidP="00B408F8">
            <w:pPr>
              <w:rPr>
                <w:lang w:val="en-US"/>
              </w:rPr>
            </w:pPr>
          </w:p>
        </w:tc>
      </w:tr>
      <w:tr w:rsidR="00D1515B" w:rsidRPr="007224E1" w:rsidTr="00D1515B">
        <w:tc>
          <w:tcPr>
            <w:tcW w:w="2366" w:type="pct"/>
          </w:tcPr>
          <w:p w:rsidR="00D1515B" w:rsidRPr="006E7BAE" w:rsidRDefault="00D1515B" w:rsidP="00C2612E">
            <w:pPr>
              <w:jc w:val="center"/>
            </w:pPr>
            <w:r w:rsidRPr="006E7BAE">
              <w:t>JUDGMENT</w:t>
            </w:r>
          </w:p>
          <w:p w:rsidR="00D1515B" w:rsidRPr="006E7BAE" w:rsidRDefault="00D1515B" w:rsidP="00417FB7">
            <w:pPr>
              <w:jc w:val="center"/>
            </w:pPr>
          </w:p>
          <w:p w:rsidR="00D1515B" w:rsidRPr="006E7BAE" w:rsidRDefault="00D1515B" w:rsidP="00D1515B">
            <w:pPr>
              <w:jc w:val="both"/>
            </w:pPr>
            <w:r w:rsidRPr="006E7BAE">
              <w:t>The application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M39469, 2011 ONCA 10</w:t>
            </w:r>
            <w:r w:rsidRPr="006E7BAE">
              <w:t xml:space="preserve">, dated </w:t>
            </w:r>
            <w:r>
              <w:t>January 7, 2011</w:t>
            </w:r>
            <w:r w:rsidR="003570EC">
              <w:t>,</w:t>
            </w:r>
            <w:r w:rsidRPr="006E7BAE">
              <w:t xml:space="preserve"> is </w:t>
            </w:r>
            <w:r>
              <w:t xml:space="preserve">dismissed with costs to all respondents except </w:t>
            </w:r>
            <w:r w:rsidR="003570EC">
              <w:t xml:space="preserve">for </w:t>
            </w:r>
            <w:r>
              <w:t xml:space="preserve">Nortel Canadian Continuing Employees and the Informal Nortel </w:t>
            </w:r>
            <w:proofErr w:type="spellStart"/>
            <w:r>
              <w:t>Noteholder</w:t>
            </w:r>
            <w:proofErr w:type="spellEnd"/>
            <w:r>
              <w:t xml:space="preserve"> Group</w:t>
            </w:r>
            <w:r w:rsidRPr="006E7BAE">
              <w:t>.</w:t>
            </w:r>
          </w:p>
        </w:tc>
        <w:tc>
          <w:tcPr>
            <w:tcW w:w="369" w:type="pct"/>
          </w:tcPr>
          <w:p w:rsidR="00D1515B" w:rsidRPr="006E7BAE" w:rsidRDefault="00D1515B" w:rsidP="00417FB7">
            <w:pPr>
              <w:jc w:val="center"/>
            </w:pPr>
          </w:p>
        </w:tc>
        <w:tc>
          <w:tcPr>
            <w:tcW w:w="2266" w:type="pct"/>
          </w:tcPr>
          <w:p w:rsidR="00D1515B" w:rsidRPr="006E7BAE" w:rsidRDefault="00D1515B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D1515B" w:rsidRPr="006E7BAE" w:rsidRDefault="00D1515B" w:rsidP="00417FB7">
            <w:pPr>
              <w:jc w:val="center"/>
              <w:rPr>
                <w:lang w:val="fr-CA"/>
              </w:rPr>
            </w:pPr>
          </w:p>
          <w:p w:rsidR="00D1515B" w:rsidRPr="006E7BAE" w:rsidRDefault="00D1515B" w:rsidP="00E610B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demande d’autorisation d’appel de l’arrêt de la </w:t>
            </w:r>
            <w:r w:rsidRPr="00D1515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1515B">
              <w:rPr>
                <w:lang w:val="fr-CA"/>
              </w:rPr>
              <w:t>M39469, 2011 ONCA 10</w:t>
            </w:r>
            <w:r w:rsidRPr="006E7BAE">
              <w:rPr>
                <w:lang w:val="fr-CA"/>
              </w:rPr>
              <w:t xml:space="preserve">, daté du </w:t>
            </w:r>
            <w:r w:rsidRPr="00D1515B">
              <w:rPr>
                <w:lang w:val="fr-CA"/>
              </w:rPr>
              <w:t>7 janvier 2011</w:t>
            </w:r>
            <w:r w:rsidRPr="006E7BAE">
              <w:rPr>
                <w:lang w:val="fr-CA"/>
              </w:rPr>
              <w:t xml:space="preserve">, est </w:t>
            </w:r>
            <w:r w:rsidR="003570EC">
              <w:rPr>
                <w:lang w:val="fr-CA"/>
              </w:rPr>
              <w:t xml:space="preserve">rejetée avec dépens en faveur des intimés à l’exception de Nortel Canadian </w:t>
            </w:r>
            <w:proofErr w:type="spellStart"/>
            <w:r w:rsidR="003570EC">
              <w:rPr>
                <w:lang w:val="fr-CA"/>
              </w:rPr>
              <w:t>Continuing</w:t>
            </w:r>
            <w:proofErr w:type="spellEnd"/>
            <w:r w:rsidR="003570EC">
              <w:rPr>
                <w:lang w:val="fr-CA"/>
              </w:rPr>
              <w:t xml:space="preserve"> </w:t>
            </w:r>
            <w:proofErr w:type="spellStart"/>
            <w:r w:rsidR="003570EC">
              <w:rPr>
                <w:lang w:val="fr-CA"/>
              </w:rPr>
              <w:t>Employees</w:t>
            </w:r>
            <w:proofErr w:type="spellEnd"/>
            <w:r w:rsidR="003570EC">
              <w:rPr>
                <w:lang w:val="fr-CA"/>
              </w:rPr>
              <w:t xml:space="preserve"> et </w:t>
            </w:r>
            <w:r w:rsidR="00E610B9">
              <w:rPr>
                <w:lang w:val="fr-CA"/>
              </w:rPr>
              <w:t>de</w:t>
            </w:r>
            <w:r w:rsidR="003570EC">
              <w:rPr>
                <w:lang w:val="fr-CA"/>
              </w:rPr>
              <w:t xml:space="preserve"> Informal Nortel </w:t>
            </w:r>
            <w:proofErr w:type="spellStart"/>
            <w:r w:rsidR="003570EC">
              <w:rPr>
                <w:lang w:val="fr-CA"/>
              </w:rPr>
              <w:t>Noteholder</w:t>
            </w:r>
            <w:proofErr w:type="spellEnd"/>
            <w:r w:rsidR="003570EC">
              <w:rPr>
                <w:lang w:val="fr-CA"/>
              </w:rPr>
              <w:t xml:space="preserve"> Group</w:t>
            </w:r>
            <w:r w:rsidRPr="006E7BAE">
              <w:rPr>
                <w:lang w:val="fr-CA"/>
              </w:rPr>
              <w:t xml:space="preserve">.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570EC" w:rsidRDefault="003570EC" w:rsidP="00417FB7">
      <w:pPr>
        <w:jc w:val="center"/>
        <w:rPr>
          <w:lang w:val="fr-CA"/>
        </w:rPr>
      </w:pPr>
    </w:p>
    <w:p w:rsidR="003570EC" w:rsidRDefault="003570EC" w:rsidP="00417FB7">
      <w:pPr>
        <w:jc w:val="center"/>
        <w:rPr>
          <w:lang w:val="fr-CA"/>
        </w:rPr>
      </w:pPr>
    </w:p>
    <w:p w:rsidR="003570EC" w:rsidRPr="00D83B8C" w:rsidRDefault="003570E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6687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66871" w:rsidRPr="00417FB7">
      <w:rPr>
        <w:szCs w:val="24"/>
      </w:rPr>
      <w:fldChar w:fldCharType="separate"/>
    </w:r>
    <w:r w:rsidR="007224E1">
      <w:rPr>
        <w:noProof/>
        <w:szCs w:val="24"/>
      </w:rPr>
      <w:t>2</w:t>
    </w:r>
    <w:r w:rsidR="0006687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34171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66871"/>
    <w:rsid w:val="00074657"/>
    <w:rsid w:val="0007565A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570E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224E1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04E60"/>
    <w:rsid w:val="00B158E3"/>
    <w:rsid w:val="00B408F8"/>
    <w:rsid w:val="00B5078E"/>
    <w:rsid w:val="00B60EDC"/>
    <w:rsid w:val="00BD4E4C"/>
    <w:rsid w:val="00BF7644"/>
    <w:rsid w:val="00C1285B"/>
    <w:rsid w:val="00C2612E"/>
    <w:rsid w:val="00C85565"/>
    <w:rsid w:val="00CE249F"/>
    <w:rsid w:val="00CF17D0"/>
    <w:rsid w:val="00D1515B"/>
    <w:rsid w:val="00D42339"/>
    <w:rsid w:val="00D61AC2"/>
    <w:rsid w:val="00D83B8C"/>
    <w:rsid w:val="00DC34A5"/>
    <w:rsid w:val="00E12A51"/>
    <w:rsid w:val="00E610B9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55FF-710D-4088-897D-376BC9F5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7</cp:revision>
  <cp:lastPrinted>2011-05-27T14:11:00Z</cp:lastPrinted>
  <dcterms:created xsi:type="dcterms:W3CDTF">2011-05-19T16:58:00Z</dcterms:created>
  <dcterms:modified xsi:type="dcterms:W3CDTF">2011-06-13T17:39:00Z</dcterms:modified>
</cp:coreProperties>
</file>