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34126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71C1F" w:rsidP="008262A3">
            <w:r>
              <w:t>Le 26</w:t>
            </w:r>
            <w:r w:rsidR="005B69C9"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71C1F" w:rsidP="0027081E">
            <w:pPr>
              <w:rPr>
                <w:lang w:val="en-CA"/>
              </w:rPr>
            </w:pPr>
            <w:r>
              <w:t>May 26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E778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71C1F">
              <w:rPr>
                <w:lang w:val="en-US"/>
              </w:rPr>
              <w:t>McLachlin C.J. and Deschamps and Charron JJ.</w:t>
            </w:r>
          </w:p>
        </w:tc>
      </w:tr>
      <w:tr w:rsidR="00C2612E" w:rsidRPr="004E7786" w:rsidTr="00F47372">
        <w:tc>
          <w:tcPr>
            <w:tcW w:w="2269" w:type="pct"/>
          </w:tcPr>
          <w:p w:rsidR="00C2612E" w:rsidRPr="00571C1F" w:rsidRDefault="00C2612E" w:rsidP="008262A3">
            <w:pPr>
              <w:rPr>
                <w:lang w:val="en-US"/>
              </w:rPr>
            </w:pPr>
          </w:p>
          <w:p w:rsidR="00C2612E" w:rsidRPr="00571C1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71C1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E06EC" w:rsidRDefault="00571C1F">
            <w:pPr>
              <w:pStyle w:val="SCCLsocPrefix"/>
            </w:pPr>
            <w:r>
              <w:t>ENTRE :</w:t>
            </w:r>
            <w:r>
              <w:br/>
            </w:r>
          </w:p>
          <w:p w:rsidR="00EE06EC" w:rsidRDefault="00571C1F">
            <w:pPr>
              <w:pStyle w:val="SCCLsocParty"/>
            </w:pPr>
            <w:r>
              <w:t>Stéphane Rozier</w:t>
            </w:r>
            <w:r>
              <w:br/>
            </w:r>
          </w:p>
          <w:p w:rsidR="00EE06EC" w:rsidRDefault="00571C1F">
            <w:pPr>
              <w:pStyle w:val="SCCLsocPartyRole"/>
            </w:pPr>
            <w:r>
              <w:t>Demandeur</w:t>
            </w:r>
            <w:r>
              <w:br/>
            </w:r>
          </w:p>
          <w:p w:rsidR="00EE06EC" w:rsidRDefault="00571C1F">
            <w:pPr>
              <w:pStyle w:val="SCCLsocVersus"/>
            </w:pPr>
            <w:r>
              <w:t>- et -</w:t>
            </w:r>
            <w:r>
              <w:br/>
            </w:r>
          </w:p>
          <w:p w:rsidR="00EE06EC" w:rsidRDefault="00571C1F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4E7786" w:rsidRDefault="00571C1F">
            <w:pPr>
              <w:pStyle w:val="SCCLsocPartyRole"/>
            </w:pPr>
            <w:r>
              <w:t>Intimée</w:t>
            </w:r>
          </w:p>
          <w:p w:rsidR="004E7786" w:rsidRDefault="004E7786">
            <w:pPr>
              <w:pStyle w:val="SCCLsocPartyRole"/>
            </w:pPr>
          </w:p>
          <w:p w:rsidR="00EE06EC" w:rsidRDefault="004E7786" w:rsidP="004E7786">
            <w:pPr>
              <w:pStyle w:val="SCCLsocPartyRole"/>
              <w:ind w:left="720"/>
              <w:jc w:val="left"/>
            </w:pPr>
            <w:r>
              <w:t xml:space="preserve">            - et -</w:t>
            </w:r>
            <w:r w:rsidR="00571C1F">
              <w:br/>
            </w:r>
          </w:p>
          <w:p w:rsidR="00EE06EC" w:rsidRDefault="00571C1F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EE06EC" w:rsidRDefault="00571C1F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E06EC" w:rsidRPr="00571C1F" w:rsidRDefault="00571C1F">
            <w:pPr>
              <w:pStyle w:val="SCCLsocPrefix"/>
              <w:rPr>
                <w:lang w:val="en-US"/>
              </w:rPr>
            </w:pPr>
            <w:r w:rsidRPr="00571C1F">
              <w:rPr>
                <w:lang w:val="en-US"/>
              </w:rPr>
              <w:t>BETWEEN:</w:t>
            </w:r>
            <w:r w:rsidRPr="00571C1F">
              <w:rPr>
                <w:lang w:val="en-US"/>
              </w:rPr>
              <w:br/>
            </w:r>
          </w:p>
          <w:p w:rsidR="00EE06EC" w:rsidRPr="00571C1F" w:rsidRDefault="00571C1F">
            <w:pPr>
              <w:pStyle w:val="SCCLsocParty"/>
              <w:rPr>
                <w:lang w:val="en-US"/>
              </w:rPr>
            </w:pPr>
            <w:r w:rsidRPr="00571C1F">
              <w:rPr>
                <w:lang w:val="en-US"/>
              </w:rPr>
              <w:t>Stéphane Rozier</w:t>
            </w:r>
            <w:r w:rsidRPr="00571C1F">
              <w:rPr>
                <w:lang w:val="en-US"/>
              </w:rPr>
              <w:br/>
            </w:r>
          </w:p>
          <w:p w:rsidR="00EE06EC" w:rsidRPr="00571C1F" w:rsidRDefault="00571C1F">
            <w:pPr>
              <w:pStyle w:val="SCCLsocPartyRole"/>
              <w:rPr>
                <w:lang w:val="en-US"/>
              </w:rPr>
            </w:pPr>
            <w:r w:rsidRPr="00571C1F">
              <w:rPr>
                <w:lang w:val="en-US"/>
              </w:rPr>
              <w:t>Applicant</w:t>
            </w:r>
            <w:r w:rsidRPr="00571C1F">
              <w:rPr>
                <w:lang w:val="en-US"/>
              </w:rPr>
              <w:br/>
            </w:r>
          </w:p>
          <w:p w:rsidR="00EE06EC" w:rsidRPr="00571C1F" w:rsidRDefault="00571C1F">
            <w:pPr>
              <w:pStyle w:val="SCCLsocVersus"/>
              <w:rPr>
                <w:lang w:val="en-US"/>
              </w:rPr>
            </w:pPr>
            <w:r w:rsidRPr="00571C1F">
              <w:rPr>
                <w:lang w:val="en-US"/>
              </w:rPr>
              <w:t>- and -</w:t>
            </w:r>
            <w:r w:rsidRPr="00571C1F">
              <w:rPr>
                <w:lang w:val="en-US"/>
              </w:rPr>
              <w:br/>
            </w:r>
          </w:p>
          <w:p w:rsidR="00EE06EC" w:rsidRDefault="00571C1F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4E7786" w:rsidRDefault="00571C1F">
            <w:pPr>
              <w:pStyle w:val="SCCLsocPartyRole"/>
            </w:pPr>
            <w:r>
              <w:t>Respondent</w:t>
            </w:r>
          </w:p>
          <w:p w:rsidR="004E7786" w:rsidRDefault="004E7786">
            <w:pPr>
              <w:pStyle w:val="SCCLsocPartyRole"/>
            </w:pPr>
          </w:p>
          <w:p w:rsidR="00EE06EC" w:rsidRDefault="004E7786">
            <w:pPr>
              <w:pStyle w:val="SCCLsocPartyRole"/>
            </w:pPr>
            <w:r w:rsidRPr="00571C1F">
              <w:rPr>
                <w:lang w:val="en-US"/>
              </w:rPr>
              <w:t>- and -</w:t>
            </w:r>
            <w:r w:rsidR="00571C1F">
              <w:br/>
            </w:r>
          </w:p>
          <w:p w:rsidR="00EE06EC" w:rsidRDefault="00571C1F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EE06EC" w:rsidRDefault="00571C1F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E7786" w:rsidTr="00F47372">
        <w:tc>
          <w:tcPr>
            <w:tcW w:w="2269" w:type="pct"/>
          </w:tcPr>
          <w:p w:rsidR="00BC3F6B" w:rsidRDefault="00BC3F6B" w:rsidP="0027081E">
            <w:pPr>
              <w:jc w:val="center"/>
            </w:pPr>
          </w:p>
          <w:p w:rsidR="00BC3F6B" w:rsidRDefault="00BC3F6B" w:rsidP="0027081E">
            <w:pPr>
              <w:jc w:val="center"/>
            </w:pPr>
          </w:p>
          <w:p w:rsidR="00BC3F6B" w:rsidRDefault="00BC3F6B" w:rsidP="0027081E">
            <w:pPr>
              <w:jc w:val="center"/>
            </w:pPr>
          </w:p>
          <w:p w:rsidR="00BC3F6B" w:rsidRDefault="00BC3F6B" w:rsidP="0027081E">
            <w:pPr>
              <w:jc w:val="center"/>
            </w:pPr>
          </w:p>
          <w:p w:rsidR="00BC3F6B" w:rsidRDefault="00BC3F6B" w:rsidP="0027081E">
            <w:pPr>
              <w:jc w:val="center"/>
            </w:pPr>
          </w:p>
          <w:p w:rsidR="00BC3F6B" w:rsidRDefault="00BC3F6B" w:rsidP="0027081E">
            <w:pPr>
              <w:jc w:val="center"/>
            </w:pPr>
          </w:p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4E7786" w:rsidRPr="001E26DB" w:rsidRDefault="00571C1F" w:rsidP="004E7786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 xml:space="preserve">te </w:t>
            </w:r>
            <w:r w:rsidR="00A0344D">
              <w:t>en prorogation du d</w:t>
            </w:r>
            <w:r w:rsidR="00A0344D">
              <w:rPr>
                <w:rFonts w:cs="Times New Roman"/>
              </w:rPr>
              <w:t>é</w:t>
            </w:r>
            <w:r w:rsidR="00A0344D">
              <w:t xml:space="preserve">lai </w:t>
            </w:r>
            <w:r w:rsidR="004021E0">
              <w:t>de signification et de d</w:t>
            </w:r>
            <w:r w:rsidR="004021E0">
              <w:rPr>
                <w:rFonts w:cs="Times New Roman"/>
              </w:rPr>
              <w:t>é</w:t>
            </w:r>
            <w:r w:rsidR="004021E0">
              <w:t>p</w:t>
            </w:r>
            <w:r w:rsidR="004021E0">
              <w:rPr>
                <w:rFonts w:cs="Times New Roman"/>
              </w:rPr>
              <w:t>ô</w:t>
            </w:r>
            <w:r w:rsidR="004021E0">
              <w:t>t de la demande d</w:t>
            </w:r>
            <w:r w:rsidR="00BC3F6B">
              <w:t xml:space="preserve">’autorisation d’appel </w:t>
            </w:r>
            <w:r w:rsidR="004E7786">
              <w:t>et les autres requ</w:t>
            </w:r>
            <w:r w:rsidR="004E7786">
              <w:rPr>
                <w:rFonts w:cs="Times New Roman"/>
              </w:rPr>
              <w:t>ê</w:t>
            </w:r>
            <w:r w:rsidR="004E7786">
              <w:t>tes accessoires sont rejet</w:t>
            </w:r>
            <w:r w:rsidR="004E7786">
              <w:rPr>
                <w:rFonts w:cs="Times New Roman"/>
              </w:rPr>
              <w:t>é</w:t>
            </w:r>
            <w:r w:rsidR="004E7786">
              <w:t>es.</w:t>
            </w:r>
            <w:r w:rsidR="00A0344D">
              <w:t xml:space="preserve">  </w:t>
            </w:r>
            <w:r w:rsidR="004E7786">
              <w:t>M</w:t>
            </w:r>
            <w:r w:rsidR="00BC3F6B">
              <w:t>ême</w:t>
            </w:r>
            <w:r w:rsidR="004E7786">
              <w:t xml:space="preserve"> si la requête en prorogation du</w:t>
            </w:r>
            <w:r w:rsidR="00BC3F6B">
              <w:t xml:space="preserve"> délai avait été accueilli</w:t>
            </w:r>
            <w:r w:rsidR="004E7786">
              <w:t>e</w:t>
            </w:r>
            <w:r w:rsidR="00BC3F6B">
              <w:t xml:space="preserve">, la demande </w:t>
            </w:r>
            <w:r w:rsidR="0027081E" w:rsidRPr="001E26DB">
              <w:t xml:space="preserve">d’autorisation d’appel de l’arrêt de la </w:t>
            </w:r>
            <w:r w:rsidR="0027081E">
              <w:t xml:space="preserve">Cour d’appel du </w:t>
            </w:r>
            <w:r w:rsidR="0027081E">
              <w:lastRenderedPageBreak/>
              <w:t>Québec (Montréal)</w:t>
            </w:r>
            <w:r w:rsidR="0027081E" w:rsidRPr="001E26DB">
              <w:t>, numéro</w:t>
            </w:r>
            <w:r w:rsidR="004E7786">
              <w:t xml:space="preserve"> 500-09-020248-092,</w:t>
            </w:r>
            <w:r w:rsidR="0027081E" w:rsidRPr="001E26DB">
              <w:t xml:space="preserve"> </w:t>
            </w:r>
            <w:r w:rsidR="0027081E">
              <w:t>2010 QCCA 1974</w:t>
            </w:r>
            <w:r w:rsidR="0027081E" w:rsidRPr="001E26DB">
              <w:t xml:space="preserve">, daté du </w:t>
            </w:r>
            <w:r w:rsidR="0027081E">
              <w:t>25 octobre 2010</w:t>
            </w:r>
            <w:r w:rsidR="00BC3F6B">
              <w:t xml:space="preserve">, aurait été </w:t>
            </w:r>
            <w:r w:rsidR="00A0344D">
              <w:t>rejet</w:t>
            </w:r>
            <w:r w:rsidR="00A0344D">
              <w:rPr>
                <w:rFonts w:cs="Times New Roman"/>
              </w:rPr>
              <w:t>é</w:t>
            </w:r>
            <w:r w:rsidR="00A0344D">
              <w:t>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BC3F6B" w:rsidRPr="00BC3F6B" w:rsidRDefault="00BC3F6B" w:rsidP="0027081E">
            <w:pPr>
              <w:jc w:val="center"/>
            </w:pPr>
          </w:p>
          <w:p w:rsidR="00BC3F6B" w:rsidRPr="00BC3F6B" w:rsidRDefault="00BC3F6B" w:rsidP="0027081E">
            <w:pPr>
              <w:jc w:val="center"/>
            </w:pPr>
          </w:p>
          <w:p w:rsidR="00BC3F6B" w:rsidRPr="00BC3F6B" w:rsidRDefault="00BC3F6B" w:rsidP="0027081E">
            <w:pPr>
              <w:jc w:val="center"/>
            </w:pPr>
          </w:p>
          <w:p w:rsidR="00BC3F6B" w:rsidRPr="00BC3F6B" w:rsidRDefault="00BC3F6B" w:rsidP="0027081E">
            <w:pPr>
              <w:jc w:val="center"/>
            </w:pPr>
          </w:p>
          <w:p w:rsidR="00BC3F6B" w:rsidRPr="00BC3F6B" w:rsidRDefault="00BC3F6B" w:rsidP="0027081E">
            <w:pPr>
              <w:jc w:val="center"/>
            </w:pPr>
          </w:p>
          <w:p w:rsidR="00BC3F6B" w:rsidRPr="00BC3F6B" w:rsidRDefault="00BC3F6B" w:rsidP="0027081E">
            <w:pPr>
              <w:jc w:val="center"/>
            </w:pP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71C1F" w:rsidP="004E778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</w:t>
            </w:r>
            <w:r w:rsidR="004021E0">
              <w:rPr>
                <w:lang w:val="en-CA"/>
              </w:rPr>
              <w:t>to serve and file the applicatio</w:t>
            </w:r>
            <w:r w:rsidR="00BC3F6B">
              <w:rPr>
                <w:lang w:val="en-CA"/>
              </w:rPr>
              <w:t>n for leave to appeal</w:t>
            </w:r>
            <w:r w:rsidR="004E7786">
              <w:rPr>
                <w:lang w:val="en-CA"/>
              </w:rPr>
              <w:t xml:space="preserve"> and the other ancillary motions are dismissed. </w:t>
            </w:r>
            <w:r w:rsidR="00BC3F6B">
              <w:rPr>
                <w:lang w:val="en-CA"/>
              </w:rPr>
              <w:t xml:space="preserve"> </w:t>
            </w:r>
            <w:r w:rsidR="004E7786">
              <w:rPr>
                <w:lang w:val="en-CA"/>
              </w:rPr>
              <w:t>The</w:t>
            </w:r>
            <w:r w:rsidR="00BC3F6B">
              <w:rPr>
                <w:lang w:val="en-CA"/>
              </w:rPr>
              <w:t xml:space="preserve"> motion for an extension of time been granted, 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71C1F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4E7786">
              <w:rPr>
                <w:lang w:val="en-CA"/>
              </w:rPr>
              <w:t xml:space="preserve"> </w:t>
            </w:r>
            <w:r w:rsidR="004E7786" w:rsidRPr="004E7786">
              <w:rPr>
                <w:lang w:val="en-US"/>
              </w:rPr>
              <w:lastRenderedPageBreak/>
              <w:t xml:space="preserve">500-09-020248-092, </w:t>
            </w:r>
            <w:r w:rsidR="0027081E" w:rsidRPr="00571C1F">
              <w:rPr>
                <w:lang w:val="en-US"/>
              </w:rPr>
              <w:t>2010 QCCA 1974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571C1F">
              <w:rPr>
                <w:lang w:val="en-US"/>
              </w:rPr>
              <w:t>October 25, 2010</w:t>
            </w:r>
            <w:r w:rsidR="00BC3F6B">
              <w:rPr>
                <w:lang w:val="en-US"/>
              </w:rPr>
              <w:t xml:space="preserve">, would </w:t>
            </w:r>
            <w:r w:rsidR="004E7786">
              <w:rPr>
                <w:lang w:val="en-US"/>
              </w:rPr>
              <w:t xml:space="preserve">nevertheless </w:t>
            </w:r>
            <w:r w:rsidR="00BC3F6B">
              <w:rPr>
                <w:lang w:val="en-US"/>
              </w:rPr>
              <w:t>have been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0344D" w:rsidRPr="002C29B6" w:rsidRDefault="00A0344D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71C1F" w:rsidRDefault="00655333" w:rsidP="00655333">
      <w:pPr>
        <w:jc w:val="center"/>
        <w:rPr>
          <w:lang w:val="en-US"/>
        </w:rPr>
      </w:pPr>
      <w:r w:rsidRPr="00571C1F">
        <w:rPr>
          <w:lang w:val="en-US"/>
        </w:rPr>
        <w:t>J.C.C.</w:t>
      </w:r>
    </w:p>
    <w:p w:rsidR="00655333" w:rsidRPr="00571C1F" w:rsidRDefault="00655333" w:rsidP="00655333">
      <w:pPr>
        <w:jc w:val="center"/>
        <w:rPr>
          <w:lang w:val="en-US"/>
        </w:rPr>
      </w:pPr>
      <w:r w:rsidRPr="00571C1F">
        <w:rPr>
          <w:lang w:val="en-US"/>
        </w:rPr>
        <w:t>C.J.C.</w:t>
      </w:r>
    </w:p>
    <w:p w:rsidR="00655333" w:rsidRPr="00571C1F" w:rsidRDefault="00655333" w:rsidP="00655333">
      <w:pPr>
        <w:jc w:val="center"/>
        <w:rPr>
          <w:lang w:val="en-US"/>
        </w:rPr>
      </w:pPr>
    </w:p>
    <w:sectPr w:rsidR="00655333" w:rsidRPr="00571C1F" w:rsidSect="00401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5F" w:rsidRDefault="00CA275F">
      <w:r>
        <w:separator/>
      </w:r>
    </w:p>
  </w:endnote>
  <w:endnote w:type="continuationSeparator" w:id="0">
    <w:p w:rsidR="00CA275F" w:rsidRDefault="00CA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6B" w:rsidRDefault="00BC3F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6B" w:rsidRDefault="00BC3F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6B" w:rsidRDefault="00BC3F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5F" w:rsidRDefault="00CA275F">
      <w:r>
        <w:separator/>
      </w:r>
    </w:p>
  </w:footnote>
  <w:footnote w:type="continuationSeparator" w:id="0">
    <w:p w:rsidR="00CA275F" w:rsidRDefault="00CA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6B" w:rsidRDefault="00BC3F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6B" w:rsidRDefault="00BC3F6B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2C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2CB3" w:rsidRPr="00417FB7">
      <w:rPr>
        <w:szCs w:val="24"/>
      </w:rPr>
      <w:fldChar w:fldCharType="separate"/>
    </w:r>
    <w:r w:rsidR="00CF65FD">
      <w:rPr>
        <w:noProof/>
        <w:szCs w:val="24"/>
      </w:rPr>
      <w:t>2</w:t>
    </w:r>
    <w:r w:rsidR="007E2C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C3F6B" w:rsidRDefault="00BC3F6B" w:rsidP="00401B64">
    <w:pPr>
      <w:rPr>
        <w:szCs w:val="24"/>
      </w:rPr>
    </w:pPr>
  </w:p>
  <w:p w:rsidR="00BC3F6B" w:rsidRDefault="00BC3F6B" w:rsidP="00401B64">
    <w:pPr>
      <w:rPr>
        <w:szCs w:val="24"/>
      </w:rPr>
    </w:pPr>
  </w:p>
  <w:p w:rsidR="00BC3F6B" w:rsidRDefault="00BC3F6B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34126</w:t>
    </w:r>
    <w:r>
      <w:rPr>
        <w:szCs w:val="24"/>
      </w:rPr>
      <w:t>     </w:t>
    </w:r>
  </w:p>
  <w:p w:rsidR="00BC3F6B" w:rsidRDefault="00BC3F6B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6B" w:rsidRDefault="00BC3F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4E0"/>
    <w:multiLevelType w:val="hybridMultilevel"/>
    <w:tmpl w:val="15A23102"/>
    <w:lvl w:ilvl="0" w:tplc="E952A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21E0"/>
    <w:rsid w:val="00414694"/>
    <w:rsid w:val="00417FB7"/>
    <w:rsid w:val="00430004"/>
    <w:rsid w:val="004943CF"/>
    <w:rsid w:val="004956DA"/>
    <w:rsid w:val="004E7786"/>
    <w:rsid w:val="00504B7F"/>
    <w:rsid w:val="00524C94"/>
    <w:rsid w:val="00563E2C"/>
    <w:rsid w:val="00571C1F"/>
    <w:rsid w:val="00572B65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E2CB3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018E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0344D"/>
    <w:rsid w:val="00A103E3"/>
    <w:rsid w:val="00A14904"/>
    <w:rsid w:val="00AB5E22"/>
    <w:rsid w:val="00AE2077"/>
    <w:rsid w:val="00AF1D29"/>
    <w:rsid w:val="00B37AA5"/>
    <w:rsid w:val="00B401B7"/>
    <w:rsid w:val="00B408F8"/>
    <w:rsid w:val="00B41C8D"/>
    <w:rsid w:val="00B5078E"/>
    <w:rsid w:val="00B60EDC"/>
    <w:rsid w:val="00BA7D71"/>
    <w:rsid w:val="00BC3F6B"/>
    <w:rsid w:val="00BD2A96"/>
    <w:rsid w:val="00BF7644"/>
    <w:rsid w:val="00C2612E"/>
    <w:rsid w:val="00C609B7"/>
    <w:rsid w:val="00CA275F"/>
    <w:rsid w:val="00CF2E5D"/>
    <w:rsid w:val="00CF65F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E06EC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383D-E280-4769-AD71-EEABE073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2011-05-09T18:32:00Z</dcterms:created>
  <dcterms:modified xsi:type="dcterms:W3CDTF">2011-05-30T13:07:00Z</dcterms:modified>
</cp:coreProperties>
</file>