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34121</w:t>
      </w:r>
      <w:r w:rsidR="00E81C0B" w:rsidRPr="001E26DB">
        <w:t>     </w:t>
      </w:r>
    </w:p>
    <w:p w:rsidR="009F436C" w:rsidRPr="001E26DB" w:rsidRDefault="009F436C" w:rsidP="00382FEC"/>
    <w:p w:rsidR="003C744C" w:rsidRPr="001E26DB" w:rsidRDefault="003C744C" w:rsidP="00382FEC"/>
    <w:tbl>
      <w:tblPr>
        <w:tblW w:w="5000" w:type="pct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274"/>
        <w:gridCol w:w="718"/>
        <w:gridCol w:w="4426"/>
      </w:tblGrid>
      <w:tr w:rsidR="00417FB7" w:rsidRPr="00F4094A" w:rsidTr="00F47372">
        <w:tc>
          <w:tcPr>
            <w:tcW w:w="2269" w:type="pct"/>
          </w:tcPr>
          <w:p w:rsidR="00417FB7" w:rsidRPr="001E26DB" w:rsidRDefault="005B69C9" w:rsidP="007B222B">
            <w:r>
              <w:t xml:space="preserve">Le </w:t>
            </w:r>
            <w:r w:rsidR="007B222B">
              <w:t>26</w:t>
            </w:r>
            <w:r>
              <w:t xml:space="preserve"> mai 2011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7B222B" w:rsidP="0027081E">
            <w:pPr>
              <w:rPr>
                <w:lang w:val="en-CA"/>
              </w:rPr>
            </w:pPr>
            <w:r>
              <w:t>May 26</w:t>
            </w:r>
            <w:r w:rsidR="005B69C9">
              <w:t>, 2011</w:t>
            </w:r>
          </w:p>
        </w:tc>
      </w:tr>
      <w:tr w:rsidR="00E12A51" w:rsidRPr="00F4094A" w:rsidTr="00F47372">
        <w:tc>
          <w:tcPr>
            <w:tcW w:w="2269" w:type="pct"/>
          </w:tcPr>
          <w:p w:rsidR="00C2612E" w:rsidRPr="002C29B6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</w:tcPr>
          <w:p w:rsidR="00E12A51" w:rsidRPr="002C29B6" w:rsidRDefault="00E12A51" w:rsidP="00382FEC">
            <w:pPr>
              <w:rPr>
                <w:lang w:val="en-US"/>
              </w:rPr>
            </w:pPr>
          </w:p>
        </w:tc>
        <w:tc>
          <w:tcPr>
            <w:tcW w:w="2350" w:type="pct"/>
          </w:tcPr>
          <w:p w:rsidR="00E12A51" w:rsidRPr="001E26DB" w:rsidRDefault="00E12A51" w:rsidP="00816B78">
            <w:pPr>
              <w:rPr>
                <w:lang w:val="en-CA"/>
              </w:rPr>
            </w:pPr>
          </w:p>
        </w:tc>
      </w:tr>
      <w:tr w:rsidR="00417FB7" w:rsidRPr="003C403B" w:rsidTr="00F47372">
        <w:tc>
          <w:tcPr>
            <w:tcW w:w="2269" w:type="pct"/>
          </w:tcPr>
          <w:p w:rsidR="00417FB7" w:rsidRPr="001E26DB" w:rsidRDefault="00417FB7" w:rsidP="007F41D5">
            <w:r w:rsidRPr="001E26DB">
              <w:t>Coram</w:t>
            </w:r>
            <w:r w:rsidR="007F41D5" w:rsidRPr="001E26DB">
              <w:t> </w:t>
            </w:r>
            <w:r w:rsidRPr="001E26DB">
              <w:t xml:space="preserve">: </w:t>
            </w:r>
            <w:r>
              <w:t>Les juges LeBel, Fish et Cromwell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7F41D5" w:rsidP="007B222B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Coram</w:t>
            </w:r>
            <w:r w:rsidR="00417FB7" w:rsidRPr="001E26DB">
              <w:rPr>
                <w:lang w:val="en-CA"/>
              </w:rPr>
              <w:t>:</w:t>
            </w:r>
            <w:r w:rsidRPr="001E26DB">
              <w:rPr>
                <w:lang w:val="en-CA"/>
              </w:rPr>
              <w:t xml:space="preserve"> </w:t>
            </w:r>
            <w:r w:rsidR="00417FB7" w:rsidRPr="001E26DB">
              <w:rPr>
                <w:lang w:val="en-CA"/>
              </w:rPr>
              <w:t xml:space="preserve"> </w:t>
            </w:r>
            <w:r w:rsidRPr="007B222B">
              <w:rPr>
                <w:lang w:val="en-US"/>
              </w:rPr>
              <w:t>LeBel, Fish and Cromwell JJ.</w:t>
            </w:r>
          </w:p>
        </w:tc>
      </w:tr>
      <w:tr w:rsidR="00C2612E" w:rsidRPr="003C403B" w:rsidTr="00F47372">
        <w:tc>
          <w:tcPr>
            <w:tcW w:w="2269" w:type="pct"/>
          </w:tcPr>
          <w:p w:rsidR="00C2612E" w:rsidRPr="007B222B" w:rsidRDefault="00C2612E" w:rsidP="008262A3">
            <w:pPr>
              <w:rPr>
                <w:lang w:val="en-US"/>
              </w:rPr>
            </w:pPr>
          </w:p>
          <w:p w:rsidR="00C2612E" w:rsidRPr="007B222B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</w:tcPr>
          <w:p w:rsidR="00C2612E" w:rsidRPr="007B222B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</w:tcPr>
          <w:p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F4094A" w:rsidTr="00F47372">
        <w:tc>
          <w:tcPr>
            <w:tcW w:w="2269" w:type="pct"/>
            <w:vAlign w:val="center"/>
          </w:tcPr>
          <w:p w:rsidR="00602ACF" w:rsidRDefault="00B9783F">
            <w:pPr>
              <w:pStyle w:val="SCCLsocPrefix"/>
            </w:pPr>
            <w:r>
              <w:t>ENTRE :</w:t>
            </w:r>
            <w:r>
              <w:br/>
            </w:r>
          </w:p>
          <w:p w:rsidR="00602ACF" w:rsidRDefault="00B9783F">
            <w:pPr>
              <w:pStyle w:val="SCCLsocParty"/>
            </w:pPr>
            <w:r>
              <w:t>Suzanne Clermont Bizzaro</w:t>
            </w:r>
            <w:r>
              <w:br/>
            </w:r>
          </w:p>
          <w:p w:rsidR="00602ACF" w:rsidRDefault="00B9783F">
            <w:pPr>
              <w:pStyle w:val="SCCLsocPartyRole"/>
            </w:pPr>
            <w:r>
              <w:t>Demanderesse</w:t>
            </w:r>
            <w:r>
              <w:br/>
            </w:r>
          </w:p>
          <w:p w:rsidR="00602ACF" w:rsidRDefault="00B9783F">
            <w:pPr>
              <w:pStyle w:val="SCCLsocVersus"/>
            </w:pPr>
            <w:r>
              <w:t>- et -</w:t>
            </w:r>
            <w:r>
              <w:br/>
            </w:r>
          </w:p>
          <w:p w:rsidR="00602ACF" w:rsidRDefault="00B9783F">
            <w:pPr>
              <w:pStyle w:val="SCCLsocParty"/>
            </w:pPr>
            <w:r>
              <w:t>Pasquale Artuso, John A. Marsillo et Fonds d'assurance responsabilité professionnelle du Barreau du Québec</w:t>
            </w:r>
            <w:r>
              <w:br/>
            </w:r>
          </w:p>
          <w:p w:rsidR="00602ACF" w:rsidRDefault="00B9783F" w:rsidP="007B222B">
            <w:pPr>
              <w:pStyle w:val="SCCLsocPartyRole"/>
            </w:pPr>
            <w:r>
              <w:t>Intimés</w:t>
            </w:r>
          </w:p>
        </w:tc>
        <w:tc>
          <w:tcPr>
            <w:tcW w:w="381" w:type="pct"/>
            <w:vAlign w:val="center"/>
          </w:tcPr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vAlign w:val="center"/>
          </w:tcPr>
          <w:p w:rsidR="00602ACF" w:rsidRPr="007B222B" w:rsidRDefault="00B9783F">
            <w:pPr>
              <w:pStyle w:val="SCCLsocPrefix"/>
              <w:rPr>
                <w:lang w:val="en-US"/>
              </w:rPr>
            </w:pPr>
            <w:r w:rsidRPr="007B222B">
              <w:rPr>
                <w:lang w:val="en-US"/>
              </w:rPr>
              <w:t>BETWEEN:</w:t>
            </w:r>
            <w:r w:rsidRPr="007B222B">
              <w:rPr>
                <w:lang w:val="en-US"/>
              </w:rPr>
              <w:br/>
            </w:r>
          </w:p>
          <w:p w:rsidR="00602ACF" w:rsidRPr="007B222B" w:rsidRDefault="00B9783F">
            <w:pPr>
              <w:pStyle w:val="SCCLsocParty"/>
              <w:rPr>
                <w:lang w:val="en-US"/>
              </w:rPr>
            </w:pPr>
            <w:r w:rsidRPr="007B222B">
              <w:rPr>
                <w:lang w:val="en-US"/>
              </w:rPr>
              <w:t>Suzanne Clermont Bizzaro</w:t>
            </w:r>
            <w:r w:rsidRPr="007B222B">
              <w:rPr>
                <w:lang w:val="en-US"/>
              </w:rPr>
              <w:br/>
            </w:r>
          </w:p>
          <w:p w:rsidR="00602ACF" w:rsidRPr="007B222B" w:rsidRDefault="00B9783F">
            <w:pPr>
              <w:pStyle w:val="SCCLsocPartyRole"/>
              <w:rPr>
                <w:lang w:val="en-US"/>
              </w:rPr>
            </w:pPr>
            <w:r w:rsidRPr="007B222B">
              <w:rPr>
                <w:lang w:val="en-US"/>
              </w:rPr>
              <w:t>Applicant</w:t>
            </w:r>
            <w:r w:rsidRPr="007B222B">
              <w:rPr>
                <w:lang w:val="en-US"/>
              </w:rPr>
              <w:br/>
            </w:r>
          </w:p>
          <w:p w:rsidR="00602ACF" w:rsidRDefault="00B9783F">
            <w:pPr>
              <w:pStyle w:val="SCCLsocVersus"/>
            </w:pPr>
            <w:r>
              <w:t>- and -</w:t>
            </w:r>
            <w:r>
              <w:br/>
            </w:r>
          </w:p>
          <w:p w:rsidR="00602ACF" w:rsidRDefault="00B9783F">
            <w:pPr>
              <w:pStyle w:val="SCCLsocParty"/>
            </w:pPr>
            <w:r>
              <w:t>Pasquale Artuso, John A. Marsillo and Fonds d'assurance responsabilité professionnelle du Barreau du Québec</w:t>
            </w:r>
            <w:r>
              <w:br/>
            </w:r>
          </w:p>
          <w:p w:rsidR="00602ACF" w:rsidRDefault="00B9783F">
            <w:pPr>
              <w:pStyle w:val="SCCLsocPartyRole"/>
            </w:pPr>
            <w:r>
              <w:t>Respondents</w:t>
            </w:r>
          </w:p>
        </w:tc>
      </w:tr>
      <w:tr w:rsidR="00824412" w:rsidRPr="00F4094A" w:rsidTr="00F47372">
        <w:tc>
          <w:tcPr>
            <w:tcW w:w="2269" w:type="pct"/>
            <w:vAlign w:val="center"/>
          </w:tcPr>
          <w:p w:rsidR="00824412" w:rsidRPr="002C29B6" w:rsidRDefault="00824412" w:rsidP="00375294">
            <w:pPr>
              <w:rPr>
                <w:lang w:val="en-US"/>
              </w:rPr>
            </w:pPr>
          </w:p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381" w:type="pct"/>
            <w:vAlign w:val="center"/>
          </w:tcPr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vAlign w:val="center"/>
          </w:tcPr>
          <w:p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3C403B" w:rsidTr="00F47372">
        <w:tc>
          <w:tcPr>
            <w:tcW w:w="2269" w:type="pct"/>
          </w:tcPr>
          <w:p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:rsidR="0027081E" w:rsidRPr="001E26DB" w:rsidRDefault="0027081E" w:rsidP="0027081E">
            <w:pPr>
              <w:jc w:val="center"/>
            </w:pPr>
          </w:p>
          <w:p w:rsidR="00824412" w:rsidRPr="001E26DB" w:rsidRDefault="002B5ECF" w:rsidP="003C403B">
            <w:pPr>
              <w:jc w:val="both"/>
            </w:pPr>
            <w:r>
              <w:t xml:space="preserve">La requête en prorogation du délai de signification et de dépôt de la demande d’autorisation d’appel est accordée. </w:t>
            </w:r>
            <w:r w:rsidR="0027081E" w:rsidRPr="001E26DB">
              <w:t xml:space="preserve">La demande d’autorisation d’appel de l’arrêt de la </w:t>
            </w:r>
            <w:r w:rsidR="0027081E">
              <w:t>Cour d’appel du Québec (Montréal)</w:t>
            </w:r>
            <w:r w:rsidR="0027081E" w:rsidRPr="001E26DB">
              <w:t xml:space="preserve">, numéro </w:t>
            </w:r>
            <w:r>
              <w:t>500-09-018760-082</w:t>
            </w:r>
            <w:r w:rsidRPr="001E26DB">
              <w:t>,</w:t>
            </w:r>
            <w:r>
              <w:t xml:space="preserve"> </w:t>
            </w:r>
            <w:r w:rsidR="0027081E">
              <w:t xml:space="preserve">2010 QCCA 2220, </w:t>
            </w:r>
            <w:r w:rsidR="0027081E" w:rsidRPr="001E26DB">
              <w:t xml:space="preserve">daté du </w:t>
            </w:r>
            <w:r w:rsidR="0027081E">
              <w:t>6 décembre 2010</w:t>
            </w:r>
            <w:r w:rsidR="0027081E" w:rsidRPr="001E26DB">
              <w:t xml:space="preserve">, est </w:t>
            </w:r>
            <w:r>
              <w:t xml:space="preserve">rejetée </w:t>
            </w:r>
            <w:r w:rsidR="003C403B">
              <w:t>avec</w:t>
            </w:r>
            <w:r>
              <w:t xml:space="preserve"> dépens</w:t>
            </w:r>
            <w:r w:rsidR="0027081E" w:rsidRPr="001E26DB">
              <w:t>.</w:t>
            </w:r>
          </w:p>
        </w:tc>
        <w:tc>
          <w:tcPr>
            <w:tcW w:w="381" w:type="pct"/>
          </w:tcPr>
          <w:p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:rsidR="00824412" w:rsidRPr="001E26DB" w:rsidRDefault="002B5ECF" w:rsidP="003C403B">
            <w:pPr>
              <w:jc w:val="both"/>
              <w:rPr>
                <w:lang w:val="en-CA"/>
              </w:rPr>
            </w:pPr>
            <w:r>
              <w:rPr>
                <w:lang w:val="en-CA"/>
              </w:rPr>
              <w:t xml:space="preserve">The motion for an extension of time to serve and file the application for leave to appeal is granted. </w:t>
            </w:r>
            <w:r w:rsidR="0027081E"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="0027081E" w:rsidRPr="001E26DB">
              <w:rPr>
                <w:lang w:val="en-CA"/>
              </w:rPr>
              <w:t xml:space="preserve"> </w:t>
            </w:r>
            <w:r w:rsidR="0027081E" w:rsidRPr="007B222B">
              <w:rPr>
                <w:lang w:val="en-US"/>
              </w:rPr>
              <w:t>Court of Appeal of Quebec (Montréal)</w:t>
            </w:r>
            <w:r w:rsidR="0027081E" w:rsidRPr="001E26DB">
              <w:rPr>
                <w:lang w:val="en-CA"/>
              </w:rPr>
              <w:t xml:space="preserve">, Number </w:t>
            </w:r>
            <w:r w:rsidRPr="007B222B">
              <w:rPr>
                <w:lang w:val="en-US"/>
              </w:rPr>
              <w:t>500-09-018760-082</w:t>
            </w:r>
            <w:r w:rsidRPr="001E26DB">
              <w:rPr>
                <w:lang w:val="en-CA"/>
              </w:rPr>
              <w:t xml:space="preserve">, </w:t>
            </w:r>
            <w:r w:rsidR="0027081E" w:rsidRPr="007B222B">
              <w:rPr>
                <w:lang w:val="en-US"/>
              </w:rPr>
              <w:t xml:space="preserve">2010 QCCA 2220, </w:t>
            </w:r>
            <w:r w:rsidR="0027081E" w:rsidRPr="001E26DB">
              <w:rPr>
                <w:lang w:val="en-CA"/>
              </w:rPr>
              <w:t xml:space="preserve">dated </w:t>
            </w:r>
            <w:r w:rsidR="0027081E" w:rsidRPr="007B222B">
              <w:rPr>
                <w:lang w:val="en-US"/>
              </w:rPr>
              <w:t>December 6, 2010</w:t>
            </w:r>
            <w:r>
              <w:rPr>
                <w:lang w:val="en-US"/>
              </w:rPr>
              <w:t>,</w:t>
            </w:r>
            <w:r w:rsidR="0027081E" w:rsidRPr="001E26DB">
              <w:rPr>
                <w:lang w:val="en-CA"/>
              </w:rPr>
              <w:t xml:space="preserve"> is </w:t>
            </w:r>
            <w:r>
              <w:rPr>
                <w:lang w:val="en-CA"/>
              </w:rPr>
              <w:t>dismissed with costs</w:t>
            </w:r>
            <w:r w:rsidR="0027081E"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</w:tc>
      </w:tr>
    </w:tbl>
    <w:p w:rsidR="009F436C" w:rsidRPr="002C29B6" w:rsidRDefault="009F436C" w:rsidP="00382FEC">
      <w:pPr>
        <w:rPr>
          <w:lang w:val="en-US"/>
        </w:rPr>
      </w:pPr>
    </w:p>
    <w:p w:rsidR="00655333" w:rsidRDefault="00655333" w:rsidP="00655333">
      <w:pPr>
        <w:jc w:val="center"/>
        <w:rPr>
          <w:lang w:val="en-US"/>
        </w:rPr>
      </w:pPr>
    </w:p>
    <w:p w:rsidR="002B5ECF" w:rsidRDefault="002B5ECF" w:rsidP="00655333">
      <w:pPr>
        <w:jc w:val="center"/>
        <w:rPr>
          <w:lang w:val="en-US"/>
        </w:rPr>
      </w:pPr>
    </w:p>
    <w:p w:rsidR="00655333" w:rsidRPr="002C29B6" w:rsidRDefault="00655333" w:rsidP="00655333">
      <w:pPr>
        <w:jc w:val="center"/>
        <w:rPr>
          <w:lang w:val="en-US"/>
        </w:rPr>
      </w:pPr>
      <w:r w:rsidRPr="002C29B6">
        <w:rPr>
          <w:lang w:val="en-US"/>
        </w:rPr>
        <w:t>J.C.S.C.</w:t>
      </w:r>
    </w:p>
    <w:p w:rsidR="009F436C" w:rsidRPr="007B222B" w:rsidRDefault="00655333" w:rsidP="00655333">
      <w:pPr>
        <w:jc w:val="center"/>
        <w:rPr>
          <w:lang w:val="en-US"/>
        </w:rPr>
      </w:pPr>
      <w:r w:rsidRPr="007B222B">
        <w:rPr>
          <w:lang w:val="en-US"/>
        </w:rPr>
        <w:t>J.S.C.C.</w:t>
      </w:r>
    </w:p>
    <w:sectPr w:rsidR="009F436C" w:rsidRPr="007B222B" w:rsidSect="002B5ECF">
      <w:headerReference w:type="default" r:id="rId8"/>
      <w:pgSz w:w="12240" w:h="15840"/>
      <w:pgMar w:top="1440" w:right="1440" w:bottom="630" w:left="1440" w:header="1440" w:footer="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ADC" w:rsidRDefault="000D5ADC">
      <w:r>
        <w:separator/>
      </w:r>
    </w:p>
  </w:endnote>
  <w:endnote w:type="continuationSeparator" w:id="0">
    <w:p w:rsidR="000D5ADC" w:rsidRDefault="000D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ADC" w:rsidRDefault="000D5ADC">
      <w:r>
        <w:separator/>
      </w:r>
    </w:p>
  </w:footnote>
  <w:footnote w:type="continuationSeparator" w:id="0">
    <w:p w:rsidR="000D5ADC" w:rsidRDefault="000D5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3A5A2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3A5A26" w:rsidRPr="00417FB7">
      <w:rPr>
        <w:szCs w:val="24"/>
      </w:rPr>
      <w:fldChar w:fldCharType="separate"/>
    </w:r>
    <w:r w:rsidR="002B5ECF">
      <w:rPr>
        <w:noProof/>
        <w:szCs w:val="24"/>
      </w:rPr>
      <w:t>2</w:t>
    </w:r>
    <w:r w:rsidR="003A5A26" w:rsidRPr="00417FB7">
      <w:rPr>
        <w:szCs w:val="24"/>
      </w:rPr>
      <w:fldChar w:fldCharType="end"/>
    </w:r>
    <w:r>
      <w:rPr>
        <w:szCs w:val="24"/>
      </w:rPr>
      <w:t xml:space="preserve"> -</w:t>
    </w:r>
  </w:p>
  <w:p w:rsidR="00401B64" w:rsidRDefault="00401B64" w:rsidP="00401B64">
    <w:pPr>
      <w:rPr>
        <w:szCs w:val="24"/>
      </w:rPr>
    </w:pPr>
  </w:p>
  <w:p w:rsidR="00401B64" w:rsidRDefault="00401B64" w:rsidP="00401B64">
    <w:pPr>
      <w:rPr>
        <w:szCs w:val="24"/>
      </w:rPr>
    </w:pPr>
  </w:p>
  <w:p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34121</w:t>
    </w:r>
    <w:r w:rsidR="00401B64">
      <w:rPr>
        <w:szCs w:val="24"/>
      </w:rPr>
      <w:t>     </w:t>
    </w:r>
  </w:p>
  <w:p w:rsidR="00401B64" w:rsidRDefault="00401B64" w:rsidP="00401B64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29C"/>
    <w:rsid w:val="00011960"/>
    <w:rsid w:val="00014928"/>
    <w:rsid w:val="0002577E"/>
    <w:rsid w:val="0003701B"/>
    <w:rsid w:val="0004338D"/>
    <w:rsid w:val="00057FAF"/>
    <w:rsid w:val="000919B4"/>
    <w:rsid w:val="000978C2"/>
    <w:rsid w:val="000B76FF"/>
    <w:rsid w:val="000D5ADC"/>
    <w:rsid w:val="000D7521"/>
    <w:rsid w:val="000E4CCE"/>
    <w:rsid w:val="00195E00"/>
    <w:rsid w:val="001A1CE1"/>
    <w:rsid w:val="001D0116"/>
    <w:rsid w:val="001D4323"/>
    <w:rsid w:val="001E26DB"/>
    <w:rsid w:val="002030E6"/>
    <w:rsid w:val="00203642"/>
    <w:rsid w:val="00215653"/>
    <w:rsid w:val="0027081E"/>
    <w:rsid w:val="002B5ECF"/>
    <w:rsid w:val="002B5FA6"/>
    <w:rsid w:val="002C29B6"/>
    <w:rsid w:val="0031097F"/>
    <w:rsid w:val="0031165C"/>
    <w:rsid w:val="00311ACE"/>
    <w:rsid w:val="00374E7D"/>
    <w:rsid w:val="00375294"/>
    <w:rsid w:val="00382FEC"/>
    <w:rsid w:val="00385A90"/>
    <w:rsid w:val="003A37CF"/>
    <w:rsid w:val="003A5A26"/>
    <w:rsid w:val="003B1F3D"/>
    <w:rsid w:val="003B7760"/>
    <w:rsid w:val="003C403B"/>
    <w:rsid w:val="003C744C"/>
    <w:rsid w:val="003D7CE6"/>
    <w:rsid w:val="00401B64"/>
    <w:rsid w:val="00414694"/>
    <w:rsid w:val="00417FB7"/>
    <w:rsid w:val="00430004"/>
    <w:rsid w:val="004943CF"/>
    <w:rsid w:val="004956DA"/>
    <w:rsid w:val="00504B7F"/>
    <w:rsid w:val="00524C94"/>
    <w:rsid w:val="00563E2C"/>
    <w:rsid w:val="005873F3"/>
    <w:rsid w:val="00587869"/>
    <w:rsid w:val="005918AD"/>
    <w:rsid w:val="005B69C9"/>
    <w:rsid w:val="00602ACF"/>
    <w:rsid w:val="00614908"/>
    <w:rsid w:val="006445E5"/>
    <w:rsid w:val="0064672C"/>
    <w:rsid w:val="00650109"/>
    <w:rsid w:val="00655333"/>
    <w:rsid w:val="006935F7"/>
    <w:rsid w:val="006C1359"/>
    <w:rsid w:val="00701109"/>
    <w:rsid w:val="007372EA"/>
    <w:rsid w:val="0076003F"/>
    <w:rsid w:val="0079129C"/>
    <w:rsid w:val="007A54CC"/>
    <w:rsid w:val="007B222B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51EF6"/>
    <w:rsid w:val="0096638C"/>
    <w:rsid w:val="00971A08"/>
    <w:rsid w:val="00995343"/>
    <w:rsid w:val="009D45DF"/>
    <w:rsid w:val="009E0F71"/>
    <w:rsid w:val="009E7A46"/>
    <w:rsid w:val="009F436C"/>
    <w:rsid w:val="00A03153"/>
    <w:rsid w:val="00A103E3"/>
    <w:rsid w:val="00A14904"/>
    <w:rsid w:val="00AB5E22"/>
    <w:rsid w:val="00AE2077"/>
    <w:rsid w:val="00AF1D29"/>
    <w:rsid w:val="00B37AA5"/>
    <w:rsid w:val="00B408F8"/>
    <w:rsid w:val="00B41C8D"/>
    <w:rsid w:val="00B5078E"/>
    <w:rsid w:val="00B60EDC"/>
    <w:rsid w:val="00B9783F"/>
    <w:rsid w:val="00BA7D71"/>
    <w:rsid w:val="00BD2A96"/>
    <w:rsid w:val="00BF7644"/>
    <w:rsid w:val="00C2612E"/>
    <w:rsid w:val="00C609B7"/>
    <w:rsid w:val="00CF2E5D"/>
    <w:rsid w:val="00D26BFF"/>
    <w:rsid w:val="00D42339"/>
    <w:rsid w:val="00D61AC2"/>
    <w:rsid w:val="00D652D6"/>
    <w:rsid w:val="00DE063A"/>
    <w:rsid w:val="00E12A51"/>
    <w:rsid w:val="00E777AD"/>
    <w:rsid w:val="00E81C0B"/>
    <w:rsid w:val="00EA4B61"/>
    <w:rsid w:val="00F06BF6"/>
    <w:rsid w:val="00F1759D"/>
    <w:rsid w:val="00F4094A"/>
    <w:rsid w:val="00F40FBF"/>
    <w:rsid w:val="00F47372"/>
    <w:rsid w:val="00F5034C"/>
    <w:rsid w:val="00F70D4F"/>
    <w:rsid w:val="00F76E97"/>
    <w:rsid w:val="00F84E07"/>
    <w:rsid w:val="00F85419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Policepardfau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Policepardfau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Policepardfau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Policepardfau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Policepardfau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Sansinterligne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D61AC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86EC3-6EF1-43DE-BB14-9DC88A31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SCC-CSC</dc:creator>
  <cp:keywords/>
  <dc:description/>
  <cp:lastModifiedBy>Caledonia Brown</cp:lastModifiedBy>
  <cp:revision>6</cp:revision>
  <dcterms:created xsi:type="dcterms:W3CDTF">2011-04-29T12:53:00Z</dcterms:created>
  <dcterms:modified xsi:type="dcterms:W3CDTF">2011-05-30T13:07:00Z</dcterms:modified>
</cp:coreProperties>
</file>