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1E26DB" w:rsidRDefault="00BD2A96" w:rsidP="00AE2077">
      <w:pPr>
        <w:jc w:val="right"/>
      </w:pPr>
      <w:bookmarkStart w:id="0" w:name="_GoBack"/>
      <w:bookmarkEnd w:id="0"/>
      <w:r w:rsidRPr="001E26DB">
        <w:rPr>
          <w:szCs w:val="24"/>
        </w:rPr>
        <w:t>N</w:t>
      </w:r>
      <w:r w:rsidRPr="001E26DB">
        <w:rPr>
          <w:szCs w:val="24"/>
          <w:vertAlign w:val="superscript"/>
        </w:rPr>
        <w:t>o</w:t>
      </w:r>
      <w:r w:rsidR="003A37CF" w:rsidRPr="001E26DB">
        <w:t xml:space="preserve"> </w:t>
      </w:r>
      <w:r>
        <w:t>34447</w:t>
      </w:r>
      <w:r w:rsidR="00E81C0B" w:rsidRPr="001E26DB">
        <w:t>     </w:t>
      </w:r>
    </w:p>
    <w:p w:rsidR="009F436C" w:rsidRPr="001E26DB" w:rsidRDefault="009F436C" w:rsidP="00382FEC"/>
    <w:p w:rsidR="003C744C" w:rsidRPr="001E26DB" w:rsidRDefault="003C744C"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F4094A" w:rsidTr="00F47372">
        <w:tc>
          <w:tcPr>
            <w:tcW w:w="2269" w:type="pct"/>
          </w:tcPr>
          <w:p w:rsidR="00417FB7" w:rsidRPr="001E26DB" w:rsidRDefault="0019281A" w:rsidP="008262A3">
            <w:r>
              <w:t>Le 22</w:t>
            </w:r>
            <w:r w:rsidR="005B69C9">
              <w:t xml:space="preserve"> mars 2012</w:t>
            </w:r>
          </w:p>
        </w:tc>
        <w:tc>
          <w:tcPr>
            <w:tcW w:w="381" w:type="pct"/>
          </w:tcPr>
          <w:p w:rsidR="00417FB7" w:rsidRPr="001E26DB" w:rsidRDefault="00417FB7" w:rsidP="00382FEC"/>
        </w:tc>
        <w:tc>
          <w:tcPr>
            <w:tcW w:w="2350" w:type="pct"/>
          </w:tcPr>
          <w:p w:rsidR="00417FB7" w:rsidRPr="001E26DB" w:rsidRDefault="0019281A" w:rsidP="0027081E">
            <w:pPr>
              <w:rPr>
                <w:lang w:val="en-CA"/>
              </w:rPr>
            </w:pPr>
            <w:r>
              <w:t>March 22</w:t>
            </w:r>
            <w:r w:rsidR="005B69C9">
              <w:t>, 2012</w:t>
            </w:r>
          </w:p>
        </w:tc>
      </w:tr>
      <w:tr w:rsidR="00E12A51" w:rsidRPr="00F4094A" w:rsidTr="00F47372">
        <w:tc>
          <w:tcPr>
            <w:tcW w:w="2269" w:type="pct"/>
          </w:tcPr>
          <w:p w:rsidR="00C2612E" w:rsidRPr="002C29B6" w:rsidRDefault="00C2612E" w:rsidP="008262A3">
            <w:pPr>
              <w:rPr>
                <w:lang w:val="en-US"/>
              </w:rPr>
            </w:pPr>
          </w:p>
        </w:tc>
        <w:tc>
          <w:tcPr>
            <w:tcW w:w="381" w:type="pct"/>
          </w:tcPr>
          <w:p w:rsidR="00E12A51" w:rsidRPr="002C29B6" w:rsidRDefault="00E12A51" w:rsidP="00382FEC">
            <w:pPr>
              <w:rPr>
                <w:lang w:val="en-US"/>
              </w:rPr>
            </w:pPr>
          </w:p>
        </w:tc>
        <w:tc>
          <w:tcPr>
            <w:tcW w:w="2350" w:type="pct"/>
          </w:tcPr>
          <w:p w:rsidR="00E12A51" w:rsidRPr="001E26DB" w:rsidRDefault="00E12A51" w:rsidP="00816B78">
            <w:pPr>
              <w:rPr>
                <w:lang w:val="en-CA"/>
              </w:rPr>
            </w:pPr>
          </w:p>
        </w:tc>
      </w:tr>
      <w:tr w:rsidR="00417FB7" w:rsidRPr="00EC7E56" w:rsidTr="00F47372">
        <w:tc>
          <w:tcPr>
            <w:tcW w:w="2269" w:type="pct"/>
          </w:tcPr>
          <w:p w:rsidR="00417FB7" w:rsidRPr="001E26DB" w:rsidRDefault="00417FB7" w:rsidP="0019281A">
            <w:pPr>
              <w:jc w:val="both"/>
            </w:pPr>
            <w:r w:rsidRPr="001E26DB">
              <w:t>Coram</w:t>
            </w:r>
            <w:r w:rsidR="007F41D5" w:rsidRPr="001E26DB">
              <w:t> </w:t>
            </w:r>
            <w:r w:rsidRPr="001E26DB">
              <w:t xml:space="preserve">: </w:t>
            </w:r>
            <w:r>
              <w:t>Les juges LeBel, Abella et Cromwell</w:t>
            </w:r>
          </w:p>
        </w:tc>
        <w:tc>
          <w:tcPr>
            <w:tcW w:w="381" w:type="pct"/>
          </w:tcPr>
          <w:p w:rsidR="00417FB7" w:rsidRPr="001E26DB" w:rsidRDefault="00417FB7" w:rsidP="00382FEC"/>
        </w:tc>
        <w:tc>
          <w:tcPr>
            <w:tcW w:w="2350" w:type="pct"/>
          </w:tcPr>
          <w:p w:rsidR="00417FB7" w:rsidRPr="001E26DB" w:rsidRDefault="007F41D5" w:rsidP="00382FEC">
            <w:pPr>
              <w:rPr>
                <w:lang w:val="en-CA"/>
              </w:rPr>
            </w:pPr>
            <w:r w:rsidRPr="001E26DB">
              <w:rPr>
                <w:lang w:val="en-CA"/>
              </w:rPr>
              <w:t>Coram</w:t>
            </w:r>
            <w:r w:rsidR="00417FB7" w:rsidRPr="001E26DB">
              <w:rPr>
                <w:lang w:val="en-CA"/>
              </w:rPr>
              <w:t>:</w:t>
            </w:r>
            <w:r w:rsidRPr="001E26DB">
              <w:rPr>
                <w:lang w:val="en-CA"/>
              </w:rPr>
              <w:t xml:space="preserve"> </w:t>
            </w:r>
            <w:r w:rsidR="00417FB7" w:rsidRPr="001E26DB">
              <w:rPr>
                <w:lang w:val="en-CA"/>
              </w:rPr>
              <w:t xml:space="preserve"> </w:t>
            </w:r>
            <w:r w:rsidRPr="0019281A">
              <w:rPr>
                <w:lang w:val="en-US"/>
              </w:rPr>
              <w:t>LeBel, Abella and Cromwell JJ.</w:t>
            </w:r>
          </w:p>
        </w:tc>
      </w:tr>
      <w:tr w:rsidR="00C2612E" w:rsidRPr="00EC7E56" w:rsidTr="00F47372">
        <w:tc>
          <w:tcPr>
            <w:tcW w:w="2269" w:type="pct"/>
          </w:tcPr>
          <w:p w:rsidR="00C2612E" w:rsidRPr="0019281A" w:rsidRDefault="00C2612E" w:rsidP="008262A3">
            <w:pPr>
              <w:rPr>
                <w:lang w:val="en-US"/>
              </w:rPr>
            </w:pPr>
          </w:p>
          <w:p w:rsidR="00C2612E" w:rsidRPr="0019281A" w:rsidRDefault="00C2612E" w:rsidP="008262A3">
            <w:pPr>
              <w:rPr>
                <w:lang w:val="en-US"/>
              </w:rPr>
            </w:pPr>
          </w:p>
        </w:tc>
        <w:tc>
          <w:tcPr>
            <w:tcW w:w="381" w:type="pct"/>
          </w:tcPr>
          <w:p w:rsidR="00C2612E" w:rsidRPr="0019281A" w:rsidRDefault="00C2612E" w:rsidP="00382FEC">
            <w:pPr>
              <w:rPr>
                <w:lang w:val="en-US"/>
              </w:rPr>
            </w:pPr>
          </w:p>
        </w:tc>
        <w:tc>
          <w:tcPr>
            <w:tcW w:w="2350" w:type="pct"/>
          </w:tcPr>
          <w:p w:rsidR="00C2612E" w:rsidRPr="001E26DB" w:rsidRDefault="00C2612E" w:rsidP="00382FEC">
            <w:pPr>
              <w:rPr>
                <w:lang w:val="en-CA"/>
              </w:rPr>
            </w:pPr>
          </w:p>
        </w:tc>
      </w:tr>
      <w:tr w:rsidR="00824412" w:rsidRPr="00F4094A" w:rsidTr="00F47372">
        <w:tc>
          <w:tcPr>
            <w:tcW w:w="2269" w:type="pct"/>
            <w:vAlign w:val="center"/>
          </w:tcPr>
          <w:p w:rsidR="002943CD" w:rsidRDefault="00FE6469">
            <w:pPr>
              <w:pStyle w:val="SCCLsocPrefix"/>
            </w:pPr>
            <w:r>
              <w:t>ENTRE :</w:t>
            </w:r>
            <w:r>
              <w:br/>
            </w:r>
          </w:p>
          <w:p w:rsidR="002943CD" w:rsidRDefault="00FE6469">
            <w:pPr>
              <w:pStyle w:val="SCCLsocParty"/>
            </w:pPr>
            <w:r>
              <w:t>Compagnie d</w:t>
            </w:r>
            <w:r w:rsidR="0019281A">
              <w:t>’</w:t>
            </w:r>
            <w:r>
              <w:t>inspection et</w:t>
            </w:r>
            <w:r w:rsidR="0019281A">
              <w:t xml:space="preserve"> d’</w:t>
            </w:r>
            <w:r>
              <w:t>assurance chaudière et machinerie</w:t>
            </w:r>
            <w:r>
              <w:br/>
            </w:r>
          </w:p>
          <w:p w:rsidR="002943CD" w:rsidRDefault="00FE6469">
            <w:pPr>
              <w:pStyle w:val="SCCLsocPartyRole"/>
            </w:pPr>
            <w:r>
              <w:t>Demanderesse</w:t>
            </w:r>
            <w:r>
              <w:br/>
            </w:r>
          </w:p>
          <w:p w:rsidR="002943CD" w:rsidRDefault="00FE6469">
            <w:pPr>
              <w:pStyle w:val="SCCLsocVersus"/>
            </w:pPr>
            <w:r>
              <w:t>- et -</w:t>
            </w:r>
            <w:r>
              <w:br/>
            </w:r>
          </w:p>
          <w:p w:rsidR="002943CD" w:rsidRDefault="00FE6469">
            <w:pPr>
              <w:pStyle w:val="SCCLsocParty"/>
            </w:pPr>
            <w:r>
              <w:t>H.A. Simons Ltd., Babcock &amp; Wilcox Industries Ltd., Cegelec Enterprises Ltd., faisant affaire sous la dénomination sociale B.G.Checo Enr., entreprise conjointe (Joint Venture)</w:t>
            </w:r>
            <w:r w:rsidR="00D009EA">
              <w:t>,</w:t>
            </w:r>
            <w:r>
              <w:t xml:space="preserve"> H.A. Simons Ltd., Babcock &amp; Wilcox Industries Ltd., Cegelec Enterprises Ltd., faisant affaire sous la dénomination sociale B.G. Checo Constructions Enr., Services Kamtech Inc., anciennement connue sous les nom et dénomination sociale de Kamyr Enterprises Inc., Continental Casualty Company, Royal Insurance Company of Canada, Ca</w:t>
            </w:r>
            <w:r w:rsidR="00A26C18">
              <w:t>nadian Surety Company of Canada et</w:t>
            </w:r>
            <w:r>
              <w:t xml:space="preserve"> Commonwealth Insurance Company</w:t>
            </w:r>
            <w:r>
              <w:br/>
            </w:r>
          </w:p>
          <w:p w:rsidR="002943CD" w:rsidRDefault="00FE6469" w:rsidP="00A26C18">
            <w:pPr>
              <w:pStyle w:val="SCCLsocPartyRole"/>
            </w:pPr>
            <w:r>
              <w:t>Intimées</w:t>
            </w:r>
          </w:p>
        </w:tc>
        <w:tc>
          <w:tcPr>
            <w:tcW w:w="381" w:type="pct"/>
            <w:vAlign w:val="center"/>
          </w:tcPr>
          <w:p w:rsidR="00824412" w:rsidRPr="002C29B6" w:rsidRDefault="00824412" w:rsidP="00375294">
            <w:pPr>
              <w:rPr>
                <w:lang w:val="en-US"/>
              </w:rPr>
            </w:pPr>
          </w:p>
        </w:tc>
        <w:tc>
          <w:tcPr>
            <w:tcW w:w="2350" w:type="pct"/>
            <w:vAlign w:val="center"/>
          </w:tcPr>
          <w:p w:rsidR="002943CD" w:rsidRPr="0019281A" w:rsidRDefault="00FE6469">
            <w:pPr>
              <w:pStyle w:val="SCCLsocPrefix"/>
              <w:rPr>
                <w:lang w:val="en-US"/>
              </w:rPr>
            </w:pPr>
            <w:r w:rsidRPr="0019281A">
              <w:rPr>
                <w:lang w:val="en-US"/>
              </w:rPr>
              <w:t>BETWEEN:</w:t>
            </w:r>
            <w:r w:rsidRPr="0019281A">
              <w:rPr>
                <w:lang w:val="en-US"/>
              </w:rPr>
              <w:br/>
            </w:r>
          </w:p>
          <w:p w:rsidR="002943CD" w:rsidRPr="0019281A" w:rsidRDefault="00FE6469">
            <w:pPr>
              <w:pStyle w:val="SCCLsocParty"/>
              <w:rPr>
                <w:lang w:val="en-US"/>
              </w:rPr>
            </w:pPr>
            <w:r w:rsidRPr="0019281A">
              <w:rPr>
                <w:lang w:val="en-US"/>
              </w:rPr>
              <w:t>Boiler Inspection and Insurance Company of Canada</w:t>
            </w:r>
            <w:r w:rsidRPr="0019281A">
              <w:rPr>
                <w:lang w:val="en-US"/>
              </w:rPr>
              <w:br/>
            </w:r>
          </w:p>
          <w:p w:rsidR="002943CD" w:rsidRPr="0019281A" w:rsidRDefault="00FE6469">
            <w:pPr>
              <w:pStyle w:val="SCCLsocPartyRole"/>
              <w:rPr>
                <w:lang w:val="en-US"/>
              </w:rPr>
            </w:pPr>
            <w:r w:rsidRPr="0019281A">
              <w:rPr>
                <w:lang w:val="en-US"/>
              </w:rPr>
              <w:t>Applicant</w:t>
            </w:r>
            <w:r w:rsidRPr="0019281A">
              <w:rPr>
                <w:lang w:val="en-US"/>
              </w:rPr>
              <w:br/>
            </w:r>
          </w:p>
          <w:p w:rsidR="002943CD" w:rsidRPr="0019281A" w:rsidRDefault="00FE6469">
            <w:pPr>
              <w:pStyle w:val="SCCLsocVersus"/>
              <w:rPr>
                <w:lang w:val="en-US"/>
              </w:rPr>
            </w:pPr>
            <w:r w:rsidRPr="0019281A">
              <w:rPr>
                <w:lang w:val="en-US"/>
              </w:rPr>
              <w:t>- and -</w:t>
            </w:r>
            <w:r w:rsidRPr="0019281A">
              <w:rPr>
                <w:lang w:val="en-US"/>
              </w:rPr>
              <w:br/>
            </w:r>
          </w:p>
          <w:p w:rsidR="002943CD" w:rsidRPr="0019281A" w:rsidRDefault="00FE6469">
            <w:pPr>
              <w:pStyle w:val="SCCLsocParty"/>
              <w:rPr>
                <w:lang w:val="en-US"/>
              </w:rPr>
            </w:pPr>
            <w:r w:rsidRPr="0019281A">
              <w:rPr>
                <w:lang w:val="en-US"/>
              </w:rPr>
              <w:t>H.A. Simons Ltd., Babcock &amp; Wilcox Industries Ltd., Cegelec Enterprises Ltd., faisant affaire sous la dénomination sociale B.G.Checo Enr., entreprise conjointe (Joint Venture)</w:t>
            </w:r>
            <w:r w:rsidR="00D009EA">
              <w:rPr>
                <w:lang w:val="en-US"/>
              </w:rPr>
              <w:t>,</w:t>
            </w:r>
            <w:r w:rsidRPr="0019281A">
              <w:rPr>
                <w:lang w:val="en-US"/>
              </w:rPr>
              <w:t xml:space="preserve"> H.A. Simons Ltd., Babcock &amp; Wilcox Industries Ltd., Cegelec Enterprises Ltd., faisant affaire sous la dénomination sociale B.G. Checo Constructions Enr., Services Kamtech Inc., anciennement connue sous les nom et dénomination sociale de Kamyr Enterprises Inc., Continental Casualty Company, Royal Insurance Company of Canada, Canadian Surety Company of Canada</w:t>
            </w:r>
            <w:r w:rsidR="00A26C18">
              <w:rPr>
                <w:lang w:val="en-US"/>
              </w:rPr>
              <w:t xml:space="preserve"> and</w:t>
            </w:r>
            <w:r w:rsidRPr="0019281A">
              <w:rPr>
                <w:lang w:val="en-US"/>
              </w:rPr>
              <w:t xml:space="preserve"> Commonwealth Insurance Company</w:t>
            </w:r>
            <w:r w:rsidRPr="0019281A">
              <w:rPr>
                <w:lang w:val="en-US"/>
              </w:rPr>
              <w:br/>
            </w:r>
          </w:p>
          <w:p w:rsidR="002943CD" w:rsidRDefault="00FE6469">
            <w:pPr>
              <w:pStyle w:val="SCCLsocPartyRole"/>
            </w:pPr>
            <w:r>
              <w:t>Respondents</w:t>
            </w:r>
          </w:p>
        </w:tc>
      </w:tr>
      <w:tr w:rsidR="00824412" w:rsidRPr="00F4094A" w:rsidTr="00F47372">
        <w:tc>
          <w:tcPr>
            <w:tcW w:w="2269" w:type="pct"/>
            <w:vAlign w:val="center"/>
          </w:tcPr>
          <w:p w:rsidR="00824412" w:rsidRPr="002C29B6" w:rsidRDefault="00824412" w:rsidP="00375294">
            <w:pPr>
              <w:rPr>
                <w:lang w:val="en-US"/>
              </w:rPr>
            </w:pPr>
          </w:p>
          <w:p w:rsidR="00824412" w:rsidRPr="002C29B6" w:rsidRDefault="00824412" w:rsidP="00375294">
            <w:pPr>
              <w:rPr>
                <w:lang w:val="en-US"/>
              </w:rPr>
            </w:pPr>
          </w:p>
        </w:tc>
        <w:tc>
          <w:tcPr>
            <w:tcW w:w="381" w:type="pct"/>
            <w:vAlign w:val="center"/>
          </w:tcPr>
          <w:p w:rsidR="00824412" w:rsidRPr="002C29B6" w:rsidRDefault="00824412" w:rsidP="00375294">
            <w:pPr>
              <w:rPr>
                <w:lang w:val="en-US"/>
              </w:rPr>
            </w:pPr>
          </w:p>
        </w:tc>
        <w:tc>
          <w:tcPr>
            <w:tcW w:w="2350" w:type="pct"/>
            <w:vAlign w:val="center"/>
          </w:tcPr>
          <w:p w:rsidR="00824412" w:rsidRPr="001E26DB" w:rsidRDefault="00824412" w:rsidP="00B408F8">
            <w:pPr>
              <w:rPr>
                <w:lang w:val="en-CA"/>
              </w:rPr>
            </w:pPr>
          </w:p>
        </w:tc>
      </w:tr>
      <w:tr w:rsidR="00824412" w:rsidRPr="00EC7E56" w:rsidTr="00F47372">
        <w:tc>
          <w:tcPr>
            <w:tcW w:w="2269" w:type="pct"/>
          </w:tcPr>
          <w:p w:rsidR="0027081E" w:rsidRPr="001E26DB" w:rsidRDefault="0027081E" w:rsidP="0027081E">
            <w:pPr>
              <w:jc w:val="center"/>
            </w:pPr>
            <w:r w:rsidRPr="001E26DB">
              <w:t>JUGEMENT</w:t>
            </w:r>
          </w:p>
          <w:p w:rsidR="0027081E" w:rsidRPr="001E26DB" w:rsidRDefault="0027081E" w:rsidP="0027081E">
            <w:pPr>
              <w:jc w:val="center"/>
            </w:pPr>
          </w:p>
          <w:p w:rsidR="00824412" w:rsidRPr="001E26DB" w:rsidRDefault="0027081E" w:rsidP="00A26C18">
            <w:pPr>
              <w:jc w:val="both"/>
            </w:pPr>
            <w:r w:rsidRPr="001E26DB">
              <w:t xml:space="preserve">La demande d’autorisation d’appel de l’arrêt de la </w:t>
            </w:r>
            <w:r>
              <w:t>Cour d’appel du Québec (Montréal)</w:t>
            </w:r>
            <w:r w:rsidRPr="001E26DB">
              <w:t xml:space="preserve">, numéro </w:t>
            </w:r>
            <w:r w:rsidR="00A26C18">
              <w:t>500-09-021260-104</w:t>
            </w:r>
            <w:r w:rsidR="00A26C18" w:rsidRPr="001E26DB">
              <w:t xml:space="preserve">, </w:t>
            </w:r>
            <w:r>
              <w:t xml:space="preserve">2011 QCCA 1194, </w:t>
            </w:r>
            <w:r w:rsidRPr="001E26DB">
              <w:t xml:space="preserve">daté du </w:t>
            </w:r>
            <w:r>
              <w:t>23 juin 2011</w:t>
            </w:r>
            <w:r w:rsidRPr="001E26DB">
              <w:t xml:space="preserve">, est </w:t>
            </w:r>
            <w:r w:rsidR="00A26C18">
              <w:t>rejetée avec dépens.</w:t>
            </w:r>
          </w:p>
        </w:tc>
        <w:tc>
          <w:tcPr>
            <w:tcW w:w="381" w:type="pct"/>
          </w:tcPr>
          <w:p w:rsidR="00824412" w:rsidRPr="001E26DB" w:rsidRDefault="00824412" w:rsidP="00417FB7">
            <w:pPr>
              <w:jc w:val="center"/>
            </w:pPr>
          </w:p>
        </w:tc>
        <w:tc>
          <w:tcPr>
            <w:tcW w:w="2350" w:type="pct"/>
          </w:tcPr>
          <w:p w:rsidR="0027081E" w:rsidRPr="001E26DB" w:rsidRDefault="0027081E" w:rsidP="0027081E">
            <w:pPr>
              <w:jc w:val="center"/>
              <w:rPr>
                <w:lang w:val="en-CA"/>
              </w:rPr>
            </w:pPr>
            <w:r w:rsidRPr="001E26DB">
              <w:rPr>
                <w:lang w:val="en-CA"/>
              </w:rPr>
              <w:t>JUDGMENT</w:t>
            </w:r>
          </w:p>
          <w:p w:rsidR="0027081E" w:rsidRPr="001E26DB" w:rsidRDefault="0027081E" w:rsidP="0027081E">
            <w:pPr>
              <w:jc w:val="center"/>
              <w:rPr>
                <w:lang w:val="en-CA"/>
              </w:rPr>
            </w:pPr>
          </w:p>
          <w:p w:rsidR="00824412" w:rsidRPr="001E26DB" w:rsidRDefault="0027081E" w:rsidP="00A26C18">
            <w:pPr>
              <w:jc w:val="both"/>
              <w:rPr>
                <w:lang w:val="en-CA"/>
              </w:rPr>
            </w:pPr>
            <w:r w:rsidRPr="001E26DB">
              <w:rPr>
                <w:lang w:val="en-CA"/>
              </w:rPr>
              <w:t>The application for leave to appeal from the judgment of the</w:t>
            </w:r>
            <w:bookmarkStart w:id="1" w:name="BM_1_"/>
            <w:bookmarkEnd w:id="1"/>
            <w:r w:rsidRPr="001E26DB">
              <w:rPr>
                <w:lang w:val="en-CA"/>
              </w:rPr>
              <w:t xml:space="preserve"> </w:t>
            </w:r>
            <w:r w:rsidRPr="0019281A">
              <w:rPr>
                <w:lang w:val="en-US"/>
              </w:rPr>
              <w:t>Court of Appeal of Quebec (Montréal)</w:t>
            </w:r>
            <w:r w:rsidRPr="001E26DB">
              <w:rPr>
                <w:lang w:val="en-CA"/>
              </w:rPr>
              <w:t xml:space="preserve">, Number </w:t>
            </w:r>
            <w:r w:rsidR="00A26C18" w:rsidRPr="0019281A">
              <w:rPr>
                <w:lang w:val="en-US"/>
              </w:rPr>
              <w:t>500-09-021260-104</w:t>
            </w:r>
            <w:r w:rsidR="00A26C18" w:rsidRPr="001E26DB">
              <w:rPr>
                <w:lang w:val="en-CA"/>
              </w:rPr>
              <w:t xml:space="preserve">, </w:t>
            </w:r>
            <w:r w:rsidRPr="0019281A">
              <w:rPr>
                <w:lang w:val="en-US"/>
              </w:rPr>
              <w:t xml:space="preserve">2011 QCCA 1194, </w:t>
            </w:r>
            <w:r w:rsidRPr="001E26DB">
              <w:rPr>
                <w:lang w:val="en-CA"/>
              </w:rPr>
              <w:t xml:space="preserve">dated </w:t>
            </w:r>
            <w:r w:rsidRPr="0019281A">
              <w:rPr>
                <w:lang w:val="en-US"/>
              </w:rPr>
              <w:t>June 23, 2011</w:t>
            </w:r>
            <w:r w:rsidRPr="001E26DB">
              <w:rPr>
                <w:lang w:val="en-CA"/>
              </w:rPr>
              <w:t xml:space="preserve"> is </w:t>
            </w:r>
            <w:r w:rsidR="00A26C18">
              <w:rPr>
                <w:lang w:val="en-CA"/>
              </w:rPr>
              <w:t>dismissed with costs.</w:t>
            </w:r>
          </w:p>
        </w:tc>
      </w:tr>
    </w:tbl>
    <w:p w:rsidR="009F436C" w:rsidRPr="002C29B6" w:rsidRDefault="009F436C" w:rsidP="00382FEC">
      <w:pPr>
        <w:rPr>
          <w:lang w:val="en-US"/>
        </w:rPr>
      </w:pPr>
    </w:p>
    <w:p w:rsidR="009F436C" w:rsidRDefault="009F436C" w:rsidP="00417FB7">
      <w:pPr>
        <w:jc w:val="center"/>
        <w:rPr>
          <w:lang w:val="en-US"/>
        </w:rPr>
      </w:pPr>
    </w:p>
    <w:p w:rsidR="00A26C18" w:rsidRDefault="00A26C18" w:rsidP="00417FB7">
      <w:pPr>
        <w:jc w:val="center"/>
        <w:rPr>
          <w:lang w:val="en-US"/>
        </w:rPr>
      </w:pPr>
    </w:p>
    <w:p w:rsidR="00A26C18" w:rsidRDefault="00A26C18" w:rsidP="00417FB7">
      <w:pPr>
        <w:jc w:val="center"/>
        <w:rPr>
          <w:lang w:val="en-US"/>
        </w:rPr>
      </w:pPr>
    </w:p>
    <w:p w:rsidR="00A26C18" w:rsidRDefault="00A26C18" w:rsidP="00417FB7">
      <w:pPr>
        <w:jc w:val="center"/>
        <w:rPr>
          <w:lang w:val="en-US"/>
        </w:rPr>
      </w:pPr>
    </w:p>
    <w:p w:rsidR="00A26C18" w:rsidRPr="002C29B6" w:rsidRDefault="00A26C18" w:rsidP="00417FB7">
      <w:pPr>
        <w:jc w:val="center"/>
        <w:rPr>
          <w:lang w:val="en-US"/>
        </w:rPr>
      </w:pPr>
    </w:p>
    <w:p w:rsidR="009F436C" w:rsidRPr="002C29B6" w:rsidRDefault="009F436C" w:rsidP="00417FB7">
      <w:pPr>
        <w:jc w:val="center"/>
        <w:rPr>
          <w:lang w:val="en-US"/>
        </w:rPr>
      </w:pPr>
    </w:p>
    <w:p w:rsidR="00655333" w:rsidRPr="0019281A" w:rsidRDefault="00655333" w:rsidP="00655333">
      <w:pPr>
        <w:jc w:val="center"/>
        <w:rPr>
          <w:lang w:val="en-US"/>
        </w:rPr>
      </w:pPr>
    </w:p>
    <w:p w:rsidR="00655333" w:rsidRPr="002C29B6" w:rsidRDefault="00655333" w:rsidP="00655333">
      <w:pPr>
        <w:jc w:val="center"/>
        <w:rPr>
          <w:lang w:val="en-US"/>
        </w:rPr>
      </w:pPr>
      <w:r w:rsidRPr="002C29B6">
        <w:rPr>
          <w:lang w:val="en-US"/>
        </w:rPr>
        <w:t>J.C.S.C.</w:t>
      </w:r>
    </w:p>
    <w:p w:rsidR="009F436C" w:rsidRPr="002C29B6" w:rsidRDefault="00655333" w:rsidP="00A26C18">
      <w:pPr>
        <w:jc w:val="center"/>
        <w:rPr>
          <w:lang w:val="en-US"/>
        </w:rPr>
      </w:pPr>
      <w:r w:rsidRPr="0019281A">
        <w:rPr>
          <w:lang w:val="en-US"/>
        </w:rPr>
        <w:t>J.S.C.C.</w:t>
      </w:r>
      <w:r w:rsidR="00A26C18" w:rsidRPr="002C29B6">
        <w:rPr>
          <w:lang w:val="en-US"/>
        </w:rPr>
        <w:t xml:space="preserve"> </w:t>
      </w:r>
    </w:p>
    <w:sectPr w:rsidR="009F436C" w:rsidRPr="002C29B6" w:rsidSect="00401B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C2" w:rsidRDefault="000978C2">
      <w:r>
        <w:separator/>
      </w:r>
    </w:p>
  </w:endnote>
  <w:endnote w:type="continuationSeparator" w:id="0">
    <w:p w:rsidR="000978C2" w:rsidRDefault="0009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2C" w:rsidRDefault="0064672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2C" w:rsidRDefault="0064672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2C" w:rsidRDefault="006467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C2" w:rsidRDefault="000978C2">
      <w:r>
        <w:separator/>
      </w:r>
    </w:p>
  </w:footnote>
  <w:footnote w:type="continuationSeparator" w:id="0">
    <w:p w:rsidR="000978C2" w:rsidRDefault="00097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2C" w:rsidRDefault="0064672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64" w:rsidRDefault="00401B64" w:rsidP="00401B64">
    <w:pPr>
      <w:tabs>
        <w:tab w:val="center" w:pos="4680"/>
      </w:tabs>
      <w:jc w:val="center"/>
      <w:rPr>
        <w:szCs w:val="24"/>
      </w:rPr>
    </w:pPr>
    <w:r>
      <w:rPr>
        <w:szCs w:val="24"/>
      </w:rPr>
      <w:t xml:space="preserve">- </w:t>
    </w:r>
    <w:r w:rsidR="009C303C" w:rsidRPr="00417FB7">
      <w:rPr>
        <w:szCs w:val="24"/>
      </w:rPr>
      <w:fldChar w:fldCharType="begin"/>
    </w:r>
    <w:r w:rsidRPr="00417FB7">
      <w:rPr>
        <w:szCs w:val="24"/>
      </w:rPr>
      <w:instrText xml:space="preserve"> PAGE   \* MERGEFORMAT </w:instrText>
    </w:r>
    <w:r w:rsidR="009C303C" w:rsidRPr="00417FB7">
      <w:rPr>
        <w:szCs w:val="24"/>
      </w:rPr>
      <w:fldChar w:fldCharType="separate"/>
    </w:r>
    <w:r w:rsidR="00921A76">
      <w:rPr>
        <w:noProof/>
        <w:szCs w:val="24"/>
      </w:rPr>
      <w:t>2</w:t>
    </w:r>
    <w:r w:rsidR="009C303C" w:rsidRPr="00417FB7">
      <w:rPr>
        <w:szCs w:val="24"/>
      </w:rPr>
      <w:fldChar w:fldCharType="end"/>
    </w:r>
    <w:r>
      <w:rPr>
        <w:szCs w:val="24"/>
      </w:rPr>
      <w:t xml:space="preserve"> -</w:t>
    </w:r>
  </w:p>
  <w:p w:rsidR="00401B64" w:rsidRDefault="00401B64" w:rsidP="00401B64">
    <w:pPr>
      <w:rPr>
        <w:szCs w:val="24"/>
      </w:rPr>
    </w:pPr>
  </w:p>
  <w:p w:rsidR="00401B64" w:rsidRDefault="00401B64" w:rsidP="00401B64">
    <w:pPr>
      <w:rPr>
        <w:szCs w:val="24"/>
      </w:rPr>
    </w:pPr>
  </w:p>
  <w:p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34447</w:t>
    </w:r>
    <w:r w:rsidR="00401B64">
      <w:rPr>
        <w:szCs w:val="24"/>
      </w:rPr>
      <w:t>     </w:t>
    </w:r>
  </w:p>
  <w:p w:rsidR="00401B64" w:rsidRDefault="00401B64" w:rsidP="00401B64">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2C" w:rsidRDefault="0064672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14928"/>
    <w:rsid w:val="0002577E"/>
    <w:rsid w:val="0003701B"/>
    <w:rsid w:val="0004338D"/>
    <w:rsid w:val="00057FAF"/>
    <w:rsid w:val="000919B4"/>
    <w:rsid w:val="000978C2"/>
    <w:rsid w:val="000B76FF"/>
    <w:rsid w:val="000D7521"/>
    <w:rsid w:val="000E4CCE"/>
    <w:rsid w:val="0019281A"/>
    <w:rsid w:val="00195E00"/>
    <w:rsid w:val="001A1CE1"/>
    <w:rsid w:val="001D0116"/>
    <w:rsid w:val="001D4323"/>
    <w:rsid w:val="001E26DB"/>
    <w:rsid w:val="002030E6"/>
    <w:rsid w:val="00203642"/>
    <w:rsid w:val="00215653"/>
    <w:rsid w:val="0027081E"/>
    <w:rsid w:val="002943CD"/>
    <w:rsid w:val="002B5FA6"/>
    <w:rsid w:val="002C29B6"/>
    <w:rsid w:val="0031097F"/>
    <w:rsid w:val="0031165C"/>
    <w:rsid w:val="00311ACE"/>
    <w:rsid w:val="00374E7D"/>
    <w:rsid w:val="00375294"/>
    <w:rsid w:val="00382FEC"/>
    <w:rsid w:val="00385A90"/>
    <w:rsid w:val="003A37CF"/>
    <w:rsid w:val="003B1F3D"/>
    <w:rsid w:val="003B7760"/>
    <w:rsid w:val="003C744C"/>
    <w:rsid w:val="003D7CE6"/>
    <w:rsid w:val="00401B64"/>
    <w:rsid w:val="00414694"/>
    <w:rsid w:val="00417FB7"/>
    <w:rsid w:val="00430004"/>
    <w:rsid w:val="004943CF"/>
    <w:rsid w:val="004956DA"/>
    <w:rsid w:val="00504B7F"/>
    <w:rsid w:val="00524C94"/>
    <w:rsid w:val="00563E2C"/>
    <w:rsid w:val="005873F3"/>
    <w:rsid w:val="00587869"/>
    <w:rsid w:val="005918AD"/>
    <w:rsid w:val="005B69C9"/>
    <w:rsid w:val="00614908"/>
    <w:rsid w:val="0064672C"/>
    <w:rsid w:val="00650109"/>
    <w:rsid w:val="00655333"/>
    <w:rsid w:val="006935F7"/>
    <w:rsid w:val="006C1359"/>
    <w:rsid w:val="00701109"/>
    <w:rsid w:val="007372EA"/>
    <w:rsid w:val="0076003F"/>
    <w:rsid w:val="0079129C"/>
    <w:rsid w:val="007A54CC"/>
    <w:rsid w:val="007F41D5"/>
    <w:rsid w:val="00816B78"/>
    <w:rsid w:val="00823BF1"/>
    <w:rsid w:val="00824412"/>
    <w:rsid w:val="008262A3"/>
    <w:rsid w:val="00830BBE"/>
    <w:rsid w:val="0086042A"/>
    <w:rsid w:val="008813BC"/>
    <w:rsid w:val="008A153F"/>
    <w:rsid w:val="008A78BE"/>
    <w:rsid w:val="008B5590"/>
    <w:rsid w:val="008D6351"/>
    <w:rsid w:val="008F4A07"/>
    <w:rsid w:val="00921A76"/>
    <w:rsid w:val="00951EF6"/>
    <w:rsid w:val="0096638C"/>
    <w:rsid w:val="00971A08"/>
    <w:rsid w:val="00995343"/>
    <w:rsid w:val="009C303C"/>
    <w:rsid w:val="009D45DF"/>
    <w:rsid w:val="009E0F71"/>
    <w:rsid w:val="009E7A46"/>
    <w:rsid w:val="009F436C"/>
    <w:rsid w:val="00A03153"/>
    <w:rsid w:val="00A103E3"/>
    <w:rsid w:val="00A14904"/>
    <w:rsid w:val="00A26C18"/>
    <w:rsid w:val="00AB5E22"/>
    <w:rsid w:val="00AE2077"/>
    <w:rsid w:val="00AF1D29"/>
    <w:rsid w:val="00B37AA5"/>
    <w:rsid w:val="00B408F8"/>
    <w:rsid w:val="00B41C8D"/>
    <w:rsid w:val="00B5078E"/>
    <w:rsid w:val="00B60EDC"/>
    <w:rsid w:val="00BA7D71"/>
    <w:rsid w:val="00BD2A96"/>
    <w:rsid w:val="00BF7644"/>
    <w:rsid w:val="00C2612E"/>
    <w:rsid w:val="00C609B7"/>
    <w:rsid w:val="00CF2E5D"/>
    <w:rsid w:val="00D009EA"/>
    <w:rsid w:val="00D26BFF"/>
    <w:rsid w:val="00D42339"/>
    <w:rsid w:val="00D61AC2"/>
    <w:rsid w:val="00D652D6"/>
    <w:rsid w:val="00DE063A"/>
    <w:rsid w:val="00E12A51"/>
    <w:rsid w:val="00E148EE"/>
    <w:rsid w:val="00E777AD"/>
    <w:rsid w:val="00E81C0B"/>
    <w:rsid w:val="00EA4B61"/>
    <w:rsid w:val="00EC7E56"/>
    <w:rsid w:val="00F06BF6"/>
    <w:rsid w:val="00F1759D"/>
    <w:rsid w:val="00F4094A"/>
    <w:rsid w:val="00F40FBF"/>
    <w:rsid w:val="00F47372"/>
    <w:rsid w:val="00F5034C"/>
    <w:rsid w:val="00F70D4F"/>
    <w:rsid w:val="00F76E97"/>
    <w:rsid w:val="00F84E07"/>
    <w:rsid w:val="00FD4F58"/>
    <w:rsid w:val="00FE6469"/>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9D86-1E0E-48CB-9A17-185536D9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263</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Maude Adam</cp:lastModifiedBy>
  <cp:revision>7</cp:revision>
  <dcterms:created xsi:type="dcterms:W3CDTF">2012-02-24T19:08:00Z</dcterms:created>
  <dcterms:modified xsi:type="dcterms:W3CDTF">2012-03-26T12:39:00Z</dcterms:modified>
</cp:coreProperties>
</file>