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April 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5 avril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4F0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 w:rsidR="0088747F">
              <w:t xml:space="preserve">McLachlin C.J. </w:t>
            </w:r>
            <w:r>
              <w:t>and Rothstein</w:t>
            </w:r>
            <w:r w:rsidR="00537601">
              <w:t xml:space="preserve"> and Moldaver</w:t>
            </w:r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37601">
              <w:rPr>
                <w:lang w:val="fr-CA"/>
              </w:rPr>
              <w:t xml:space="preserve">La juge en chef McLachlin et </w:t>
            </w:r>
            <w:r w:rsidR="00537601">
              <w:rPr>
                <w:lang w:val="fr-FR"/>
              </w:rPr>
              <w:t>les juges</w:t>
            </w:r>
            <w:r w:rsidRPr="00735683">
              <w:rPr>
                <w:lang w:val="fr-FR"/>
              </w:rPr>
              <w:t xml:space="preserve"> Rothstein</w:t>
            </w:r>
            <w:r w:rsidR="00537601">
              <w:rPr>
                <w:lang w:val="fr-FR"/>
              </w:rPr>
              <w:t xml:space="preserve"> et Moldaver</w:t>
            </w:r>
          </w:p>
        </w:tc>
      </w:tr>
      <w:tr w:rsidR="00C2612E" w:rsidRPr="00FE4F0F" w:rsidTr="00F47372">
        <w:tc>
          <w:tcPr>
            <w:tcW w:w="2269" w:type="pct"/>
          </w:tcPr>
          <w:p w:rsidR="00C2612E" w:rsidRPr="00735683" w:rsidRDefault="00C2612E" w:rsidP="008262A3">
            <w:pPr>
              <w:rPr>
                <w:lang w:val="fr-FR"/>
              </w:rPr>
            </w:pPr>
          </w:p>
          <w:p w:rsidR="00C2612E" w:rsidRPr="0073568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</w:tcPr>
          <w:p w:rsidR="00C2612E" w:rsidRPr="0073568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E4F0F" w:rsidTr="00F47372">
        <w:tc>
          <w:tcPr>
            <w:tcW w:w="2269" w:type="pct"/>
            <w:vAlign w:val="center"/>
          </w:tcPr>
          <w:p w:rsidR="001D7365" w:rsidRDefault="00966360">
            <w:pPr>
              <w:pStyle w:val="SCCLsocPrefix"/>
            </w:pPr>
            <w:r>
              <w:t>BETWEEN:</w:t>
            </w:r>
            <w:r>
              <w:br/>
            </w:r>
          </w:p>
          <w:p w:rsidR="001D7365" w:rsidRDefault="00966360" w:rsidP="00966360">
            <w:pPr>
              <w:pStyle w:val="SCCLsocParty"/>
            </w:pPr>
            <w:r>
              <w:t>Eric Victor Cojocaru, an infant by his Guardian Ad Litem, Monica Cojocaru</w:t>
            </w:r>
            <w:r>
              <w:br/>
              <w:t>and Monica Cojocaru</w:t>
            </w:r>
            <w:r>
              <w:br/>
            </w:r>
          </w:p>
          <w:p w:rsidR="001D7365" w:rsidRDefault="00537601">
            <w:pPr>
              <w:pStyle w:val="SCCLsocPartyRole"/>
            </w:pPr>
            <w:r>
              <w:t>Appellants/</w:t>
            </w:r>
            <w:r w:rsidR="00966360">
              <w:t>Respondents on application for leave to cross-appeal</w:t>
            </w:r>
            <w:r w:rsidR="00966360">
              <w:br/>
            </w:r>
          </w:p>
          <w:p w:rsidR="001D7365" w:rsidRDefault="00966360">
            <w:pPr>
              <w:pStyle w:val="SCCLsocVersus"/>
            </w:pPr>
            <w:r>
              <w:t>- and -</w:t>
            </w:r>
            <w:r>
              <w:br/>
            </w:r>
          </w:p>
          <w:p w:rsidR="001D7365" w:rsidRDefault="00966360">
            <w:pPr>
              <w:pStyle w:val="SCCLsocParty"/>
            </w:pPr>
            <w:r>
              <w:t>British Columbia Women</w:t>
            </w:r>
            <w:r w:rsidR="006F4840">
              <w:t>’</w:t>
            </w:r>
            <w:r>
              <w:t>s Hospital and Health Center and F. Bellini</w:t>
            </w:r>
            <w:r>
              <w:br/>
            </w:r>
          </w:p>
          <w:p w:rsidR="00966360" w:rsidRDefault="00537601">
            <w:pPr>
              <w:pStyle w:val="SCCLsocPartyRole"/>
            </w:pPr>
            <w:r>
              <w:t>Respondents/</w:t>
            </w:r>
            <w:r w:rsidR="00966360">
              <w:t>Applicants on application for leave to cross-appeal</w:t>
            </w:r>
          </w:p>
          <w:p w:rsidR="00966360" w:rsidRDefault="00966360">
            <w:pPr>
              <w:pStyle w:val="SCCLsocPartyRole"/>
            </w:pPr>
            <w:r>
              <w:br/>
              <w:t>- and-</w:t>
            </w:r>
          </w:p>
          <w:p w:rsidR="001D7365" w:rsidRDefault="001D7365">
            <w:pPr>
              <w:pStyle w:val="SCCLsocPartyRole"/>
            </w:pPr>
          </w:p>
          <w:p w:rsidR="001D7365" w:rsidRDefault="00966360">
            <w:pPr>
              <w:pStyle w:val="SCCLsocParty"/>
            </w:pPr>
            <w:r>
              <w:t>Dale R. Steele, Jeremy A. Green, Jenise Yue, Jennifer Muir, Fawaz Edris, C. Scott, C. Wong, M. Voerwold, K. Gleeson, C. MacQueen, Jane Doe and John Doe</w:t>
            </w:r>
            <w:r>
              <w:br/>
            </w:r>
          </w:p>
          <w:p w:rsidR="00966360" w:rsidRDefault="00966360">
            <w:pPr>
              <w:pStyle w:val="SCCLsocPartyRole"/>
            </w:pPr>
            <w:r>
              <w:t>Respondents</w:t>
            </w:r>
          </w:p>
          <w:p w:rsidR="006F4840" w:rsidRDefault="006F4840" w:rsidP="006F4840"/>
          <w:p w:rsidR="006F4840" w:rsidRPr="006F4840" w:rsidRDefault="006F4840" w:rsidP="006F4840"/>
          <w:p w:rsidR="001D7365" w:rsidRDefault="0096636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1D7365" w:rsidRDefault="00966360" w:rsidP="003C0AE1">
            <w:pPr>
              <w:pStyle w:val="SCCLsocParty"/>
            </w:pPr>
            <w:r>
              <w:t>Eric Victor Cojocaru, an infant by his Guardian Ad Litem, Monica Cojocaru</w:t>
            </w:r>
            <w:r>
              <w:br/>
            </w:r>
            <w:r w:rsidR="000760C7">
              <w:t xml:space="preserve">and </w:t>
            </w:r>
            <w:r>
              <w:t>Monica Cojocaru</w:t>
            </w:r>
            <w:r>
              <w:br/>
            </w:r>
          </w:p>
          <w:p w:rsidR="001D7365" w:rsidRDefault="00537601" w:rsidP="003C0AE1">
            <w:pPr>
              <w:pStyle w:val="SCCLsocPartyRole"/>
            </w:pPr>
            <w:r>
              <w:t>Appellants/</w:t>
            </w:r>
            <w:r w:rsidR="000760C7">
              <w:t>Respondents on application for leave to cross-appeal</w:t>
            </w:r>
            <w:r w:rsidR="00966360">
              <w:br/>
            </w:r>
          </w:p>
          <w:p w:rsidR="001D7365" w:rsidRDefault="00966360" w:rsidP="003C0AE1">
            <w:pPr>
              <w:pStyle w:val="SCCLsocVersus"/>
            </w:pPr>
            <w:r>
              <w:t>- and -</w:t>
            </w:r>
            <w:r>
              <w:br/>
            </w:r>
          </w:p>
          <w:p w:rsidR="001D7365" w:rsidRDefault="00966360" w:rsidP="003C0AE1">
            <w:pPr>
              <w:pStyle w:val="SCCLsocParty"/>
            </w:pPr>
            <w:r>
              <w:t>Dale R. Steele, Jenise Yue, Fawaz Edris, Jeremy A. Green, Jennifer Muir, C. Scott, C. Wong, M. Voerwold, K. Gleeson, C. Ma</w:t>
            </w:r>
            <w:r w:rsidR="00537601">
              <w:t>cqueen, Jane Doe and</w:t>
            </w:r>
            <w:r>
              <w:t xml:space="preserve"> John Doe</w:t>
            </w:r>
            <w:r>
              <w:br/>
            </w:r>
          </w:p>
          <w:p w:rsidR="00443AFA" w:rsidRDefault="00966360" w:rsidP="003C0AE1">
            <w:pPr>
              <w:pStyle w:val="SCCLsocPartyRole"/>
            </w:pPr>
            <w:r>
              <w:t>Respondents</w:t>
            </w:r>
            <w:r>
              <w:br/>
            </w:r>
          </w:p>
          <w:p w:rsidR="00443AFA" w:rsidRDefault="00443AFA" w:rsidP="003C0AE1">
            <w:pPr>
              <w:jc w:val="center"/>
            </w:pPr>
            <w:r>
              <w:t>- and -</w:t>
            </w:r>
          </w:p>
          <w:p w:rsidR="00443AFA" w:rsidRPr="00443AFA" w:rsidRDefault="00443AFA" w:rsidP="003C0AE1">
            <w:pPr>
              <w:jc w:val="center"/>
            </w:pPr>
          </w:p>
          <w:p w:rsidR="001D7365" w:rsidRDefault="00966360" w:rsidP="003C0AE1">
            <w:pPr>
              <w:pStyle w:val="SCCLsocParty"/>
            </w:pPr>
            <w:r>
              <w:t>British Columbia Wom</w:t>
            </w:r>
            <w:r w:rsidR="006F4840">
              <w:t>en’</w:t>
            </w:r>
            <w:r w:rsidR="00537601">
              <w:t>s Hospital and Health Center and</w:t>
            </w:r>
            <w:r>
              <w:t xml:space="preserve"> F. Bellini</w:t>
            </w:r>
            <w:r>
              <w:br/>
            </w:r>
          </w:p>
          <w:p w:rsidR="001D7365" w:rsidRDefault="00537601" w:rsidP="003C0AE1">
            <w:pPr>
              <w:pStyle w:val="SCCLsocPartyRole"/>
            </w:pPr>
            <w:r>
              <w:t>Respondents/Applicants on application for leave to cross-appeal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7365" w:rsidRPr="00735683" w:rsidRDefault="00966360">
            <w:pPr>
              <w:pStyle w:val="SCCLsocPrefix"/>
              <w:rPr>
                <w:lang w:val="fr-FR"/>
              </w:rPr>
            </w:pPr>
            <w:r w:rsidRPr="00735683">
              <w:rPr>
                <w:lang w:val="fr-FR"/>
              </w:rPr>
              <w:t>ENTRE :</w:t>
            </w:r>
            <w:r w:rsidRPr="00735683">
              <w:rPr>
                <w:lang w:val="fr-FR"/>
              </w:rPr>
              <w:br/>
            </w:r>
          </w:p>
          <w:p w:rsidR="001D7365" w:rsidRPr="00735683" w:rsidRDefault="00966360" w:rsidP="00966360">
            <w:pPr>
              <w:pStyle w:val="SCCLsocParty"/>
              <w:rPr>
                <w:lang w:val="fr-FR"/>
              </w:rPr>
            </w:pPr>
            <w:r w:rsidRPr="00735683">
              <w:rPr>
                <w:lang w:val="fr-FR"/>
              </w:rPr>
              <w:t>Eric Victor Cojocaru, un mineu</w:t>
            </w:r>
            <w:r w:rsidR="006F4840">
              <w:rPr>
                <w:lang w:val="fr-FR"/>
              </w:rPr>
              <w:t>r représenté par sa tutrice à l’</w:t>
            </w:r>
            <w:r w:rsidRPr="00735683">
              <w:rPr>
                <w:lang w:val="fr-FR"/>
              </w:rPr>
              <w:t xml:space="preserve">instance, Monica </w:t>
            </w:r>
            <w:proofErr w:type="spellStart"/>
            <w:r w:rsidRPr="00735683">
              <w:rPr>
                <w:lang w:val="fr-FR"/>
              </w:rPr>
              <w:t>Cojocaru</w:t>
            </w:r>
            <w:proofErr w:type="spellEnd"/>
            <w:r w:rsidRPr="00735683">
              <w:rPr>
                <w:lang w:val="fr-FR"/>
              </w:rPr>
              <w:br/>
            </w:r>
            <w:r>
              <w:rPr>
                <w:lang w:val="fr-FR"/>
              </w:rPr>
              <w:t xml:space="preserve">et </w:t>
            </w:r>
            <w:r w:rsidRPr="00735683">
              <w:rPr>
                <w:lang w:val="fr-FR"/>
              </w:rPr>
              <w:t xml:space="preserve">Monica </w:t>
            </w:r>
            <w:proofErr w:type="spellStart"/>
            <w:r w:rsidRPr="00735683">
              <w:rPr>
                <w:lang w:val="fr-FR"/>
              </w:rPr>
              <w:t>Cojocaru</w:t>
            </w:r>
            <w:proofErr w:type="spellEnd"/>
            <w:r w:rsidRPr="00735683">
              <w:rPr>
                <w:lang w:val="fr-FR"/>
              </w:rPr>
              <w:br/>
            </w:r>
          </w:p>
          <w:p w:rsidR="001D7365" w:rsidRPr="00735683" w:rsidRDefault="005376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Appelants/i</w:t>
            </w:r>
            <w:r w:rsidR="00966360">
              <w:rPr>
                <w:lang w:val="fr-FR"/>
              </w:rPr>
              <w:t>ntimés</w:t>
            </w:r>
            <w:r w:rsidR="00966360" w:rsidRPr="00735683">
              <w:rPr>
                <w:lang w:val="fr-FR"/>
              </w:rPr>
              <w:t xml:space="preserve"> à l</w:t>
            </w:r>
            <w:r w:rsidR="00966360">
              <w:rPr>
                <w:lang w:val="fr-FR"/>
              </w:rPr>
              <w:t>a demande d’</w:t>
            </w:r>
            <w:r w:rsidR="00966360" w:rsidRPr="00735683">
              <w:rPr>
                <w:lang w:val="fr-FR"/>
              </w:rPr>
              <w:t>appel incident</w:t>
            </w:r>
            <w:r w:rsidR="00966360" w:rsidRPr="00735683">
              <w:rPr>
                <w:lang w:val="fr-FR"/>
              </w:rPr>
              <w:br/>
            </w:r>
          </w:p>
          <w:p w:rsidR="001D7365" w:rsidRPr="00537601" w:rsidRDefault="00966360">
            <w:pPr>
              <w:pStyle w:val="SCCLsocVersus"/>
              <w:rPr>
                <w:lang w:val="en-US"/>
              </w:rPr>
            </w:pPr>
            <w:r w:rsidRPr="00537601">
              <w:rPr>
                <w:lang w:val="en-US"/>
              </w:rPr>
              <w:t>- et -</w:t>
            </w:r>
            <w:r w:rsidRPr="00537601">
              <w:rPr>
                <w:lang w:val="en-US"/>
              </w:rPr>
              <w:br/>
            </w:r>
          </w:p>
          <w:p w:rsidR="001D7365" w:rsidRPr="00966360" w:rsidRDefault="006F4840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British Columbia Women’</w:t>
            </w:r>
            <w:r w:rsidR="00966360" w:rsidRPr="00966360">
              <w:rPr>
                <w:lang w:val="en-US"/>
              </w:rPr>
              <w:t>s Hospital and Health Center et F. Bellini</w:t>
            </w:r>
            <w:r w:rsidR="00966360" w:rsidRPr="00966360">
              <w:rPr>
                <w:lang w:val="en-US"/>
              </w:rPr>
              <w:br/>
            </w:r>
          </w:p>
          <w:p w:rsidR="00966360" w:rsidRDefault="00537601" w:rsidP="0096636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Intimés/</w:t>
            </w:r>
            <w:r w:rsidR="00966360">
              <w:rPr>
                <w:lang w:val="fr-FR"/>
              </w:rPr>
              <w:t>demandeurs</w:t>
            </w:r>
            <w:r w:rsidR="00966360" w:rsidRPr="00735683">
              <w:rPr>
                <w:lang w:val="fr-FR"/>
              </w:rPr>
              <w:t xml:space="preserve"> à </w:t>
            </w:r>
            <w:r w:rsidR="00966360">
              <w:rPr>
                <w:lang w:val="fr-FR"/>
              </w:rPr>
              <w:t>la demande d</w:t>
            </w:r>
            <w:r>
              <w:rPr>
                <w:lang w:val="fr-FR"/>
              </w:rPr>
              <w:t>’</w:t>
            </w:r>
            <w:r w:rsidR="00966360" w:rsidRPr="00735683">
              <w:rPr>
                <w:lang w:val="fr-FR"/>
              </w:rPr>
              <w:t>appel incident</w:t>
            </w:r>
          </w:p>
          <w:p w:rsidR="00966360" w:rsidRDefault="00966360" w:rsidP="00966360">
            <w:pPr>
              <w:pStyle w:val="SCCLsocPartyRole"/>
              <w:rPr>
                <w:lang w:val="fr-FR"/>
              </w:rPr>
            </w:pPr>
          </w:p>
          <w:p w:rsidR="00966360" w:rsidRPr="00537601" w:rsidRDefault="00966360" w:rsidP="00966360">
            <w:pPr>
              <w:pStyle w:val="SCCLsocPartyRole"/>
              <w:rPr>
                <w:lang w:val="en-US"/>
              </w:rPr>
            </w:pPr>
            <w:r w:rsidRPr="00537601">
              <w:rPr>
                <w:lang w:val="en-US"/>
              </w:rPr>
              <w:t>- et -</w:t>
            </w:r>
            <w:r w:rsidRPr="00537601">
              <w:rPr>
                <w:lang w:val="en-US"/>
              </w:rPr>
              <w:br/>
            </w:r>
          </w:p>
          <w:p w:rsidR="001D7365" w:rsidRDefault="00966360">
            <w:pPr>
              <w:pStyle w:val="SCCLsocParty"/>
            </w:pPr>
            <w:r>
              <w:t>Dale R. Steele, Jeremy A. Green, Jenise Yue, Jennifer Muir, Fawaz Edris, C. Scott, C. Wong, M. Voerwold, K. Gleeson, C. MacQueen, Mme Unetelle et M. Untel</w:t>
            </w:r>
            <w:r>
              <w:br/>
            </w:r>
          </w:p>
          <w:p w:rsidR="006F4840" w:rsidRDefault="00EA38B2" w:rsidP="006F484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Intimés</w:t>
            </w:r>
          </w:p>
          <w:p w:rsidR="006F4840" w:rsidRDefault="006F4840" w:rsidP="006F4840">
            <w:pPr>
              <w:pStyle w:val="SCCLsocPartyRole"/>
              <w:rPr>
                <w:lang w:val="fr-FR"/>
              </w:rPr>
            </w:pPr>
          </w:p>
          <w:p w:rsidR="001D7365" w:rsidRPr="00443AFA" w:rsidRDefault="00966360" w:rsidP="006F4840">
            <w:pPr>
              <w:pStyle w:val="SCCLsocPartyRole"/>
              <w:rPr>
                <w:b/>
                <w:lang w:val="fr-FR"/>
              </w:rPr>
            </w:pPr>
            <w:r w:rsidRPr="00735683">
              <w:rPr>
                <w:lang w:val="fr-FR"/>
              </w:rPr>
              <w:br/>
            </w:r>
            <w:r w:rsidRPr="0027603A">
              <w:rPr>
                <w:b/>
                <w:lang w:val="fr-FR"/>
              </w:rPr>
              <w:t>ET ENTRE</w:t>
            </w:r>
            <w:r w:rsidRPr="00735683">
              <w:rPr>
                <w:lang w:val="fr-FR"/>
              </w:rPr>
              <w:t xml:space="preserve"> :</w:t>
            </w:r>
            <w:r w:rsidRPr="00735683">
              <w:rPr>
                <w:lang w:val="fr-FR"/>
              </w:rPr>
              <w:br/>
            </w:r>
          </w:p>
          <w:p w:rsidR="001D7365" w:rsidRPr="00735683" w:rsidRDefault="00966360">
            <w:pPr>
              <w:pStyle w:val="SCCLsocParty"/>
              <w:rPr>
                <w:lang w:val="fr-FR"/>
              </w:rPr>
            </w:pPr>
            <w:r w:rsidRPr="00735683">
              <w:rPr>
                <w:lang w:val="fr-FR"/>
              </w:rPr>
              <w:t>Eric Victor Cojocaru, un mineur représenté par sa tutrice à l'instance, Monica Cojocaru</w:t>
            </w:r>
            <w:r w:rsidRPr="00735683">
              <w:rPr>
                <w:lang w:val="fr-FR"/>
              </w:rPr>
              <w:br/>
            </w:r>
            <w:r w:rsidR="000760C7">
              <w:rPr>
                <w:lang w:val="fr-FR"/>
              </w:rPr>
              <w:t xml:space="preserve">et </w:t>
            </w:r>
            <w:r w:rsidRPr="00735683">
              <w:rPr>
                <w:lang w:val="fr-FR"/>
              </w:rPr>
              <w:t>Monica Cojocaru</w:t>
            </w:r>
            <w:r w:rsidRPr="00735683">
              <w:rPr>
                <w:lang w:val="fr-FR"/>
              </w:rPr>
              <w:br/>
            </w:r>
          </w:p>
          <w:p w:rsidR="001D7365" w:rsidRPr="00735683" w:rsidRDefault="005376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Appelants/i</w:t>
            </w:r>
            <w:r w:rsidR="000760C7">
              <w:rPr>
                <w:lang w:val="fr-FR"/>
              </w:rPr>
              <w:t>ntimés</w:t>
            </w:r>
            <w:r w:rsidR="000760C7" w:rsidRPr="00735683">
              <w:rPr>
                <w:lang w:val="fr-FR"/>
              </w:rPr>
              <w:t xml:space="preserve"> à l</w:t>
            </w:r>
            <w:r w:rsidR="000760C7">
              <w:rPr>
                <w:lang w:val="fr-FR"/>
              </w:rPr>
              <w:t>a demande d’</w:t>
            </w:r>
            <w:r w:rsidR="000760C7" w:rsidRPr="00735683">
              <w:rPr>
                <w:lang w:val="fr-FR"/>
              </w:rPr>
              <w:t>appel incident</w:t>
            </w:r>
            <w:r w:rsidR="00966360" w:rsidRPr="00735683">
              <w:rPr>
                <w:lang w:val="fr-FR"/>
              </w:rPr>
              <w:br/>
            </w:r>
          </w:p>
          <w:p w:rsidR="001D7365" w:rsidRPr="00537601" w:rsidRDefault="00966360">
            <w:pPr>
              <w:pStyle w:val="SCCLsocVersus"/>
              <w:rPr>
                <w:lang w:val="en-US"/>
              </w:rPr>
            </w:pPr>
            <w:r w:rsidRPr="00537601">
              <w:rPr>
                <w:lang w:val="en-US"/>
              </w:rPr>
              <w:t>- et -</w:t>
            </w:r>
            <w:r w:rsidRPr="00537601">
              <w:rPr>
                <w:lang w:val="en-US"/>
              </w:rPr>
              <w:br/>
            </w:r>
          </w:p>
          <w:p w:rsidR="001D7365" w:rsidRDefault="00966360">
            <w:pPr>
              <w:pStyle w:val="SCCLsocParty"/>
            </w:pPr>
            <w:r>
              <w:t>Dale R. Steele, Jenise Yue, Fawaz Edris, Jeremy A. Green, Jennifer Muir, C. Scott, C. Wong, M. Voerwold, K. Gle</w:t>
            </w:r>
            <w:r w:rsidR="00537601">
              <w:t>eson, C. Macqueen, Mme Unetelle et</w:t>
            </w:r>
            <w:r>
              <w:t xml:space="preserve"> M. Untel</w:t>
            </w:r>
            <w:r>
              <w:br/>
            </w:r>
          </w:p>
          <w:p w:rsidR="00443AFA" w:rsidRDefault="000760C7">
            <w:pPr>
              <w:pStyle w:val="SCCLsocPartyRole"/>
            </w:pPr>
            <w:r>
              <w:t>Intimé</w:t>
            </w:r>
            <w:r w:rsidR="00966360">
              <w:t>s</w:t>
            </w:r>
          </w:p>
          <w:p w:rsidR="00443AFA" w:rsidRDefault="00443AFA">
            <w:pPr>
              <w:pStyle w:val="SCCLsocPartyRole"/>
            </w:pPr>
          </w:p>
          <w:p w:rsidR="001D7365" w:rsidRDefault="00443AFA">
            <w:pPr>
              <w:pStyle w:val="SCCLsocPartyRole"/>
            </w:pPr>
            <w:r w:rsidRPr="00537601">
              <w:rPr>
                <w:lang w:val="en-US"/>
              </w:rPr>
              <w:t>- et -</w:t>
            </w:r>
            <w:r w:rsidR="00966360">
              <w:br/>
            </w:r>
          </w:p>
          <w:p w:rsidR="001D7365" w:rsidRDefault="00966360">
            <w:pPr>
              <w:pStyle w:val="SCCLsocParty"/>
            </w:pPr>
            <w:r>
              <w:t>British Columbia Wom</w:t>
            </w:r>
            <w:r w:rsidR="006F4840">
              <w:t>en’</w:t>
            </w:r>
            <w:r w:rsidR="00537601">
              <w:t>s Hospital and Health Center et</w:t>
            </w:r>
            <w:r>
              <w:t xml:space="preserve"> F. Bellini</w:t>
            </w:r>
            <w:r>
              <w:br/>
            </w:r>
          </w:p>
          <w:p w:rsidR="001D7365" w:rsidRPr="00735683" w:rsidRDefault="005376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Intimés/demandeurs</w:t>
            </w:r>
            <w:r w:rsidRPr="00735683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la demande d’</w:t>
            </w:r>
            <w:r w:rsidRPr="00735683">
              <w:rPr>
                <w:lang w:val="fr-FR"/>
              </w:rPr>
              <w:t>appel incident</w:t>
            </w:r>
          </w:p>
        </w:tc>
      </w:tr>
      <w:tr w:rsidR="00824412" w:rsidRPr="00FE4F0F" w:rsidTr="00F47372">
        <w:tc>
          <w:tcPr>
            <w:tcW w:w="2269" w:type="pct"/>
            <w:vAlign w:val="center"/>
          </w:tcPr>
          <w:p w:rsidR="00824412" w:rsidRPr="00735683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vAlign w:val="center"/>
          </w:tcPr>
          <w:p w:rsidR="00824412" w:rsidRPr="0073568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824412" w:rsidRPr="00735683" w:rsidRDefault="00824412" w:rsidP="00B408F8">
            <w:pPr>
              <w:rPr>
                <w:lang w:val="fr-FR"/>
              </w:rPr>
            </w:pPr>
          </w:p>
        </w:tc>
      </w:tr>
      <w:tr w:rsidR="00824412" w:rsidRPr="00FE4F0F" w:rsidTr="00F47372">
        <w:tc>
          <w:tcPr>
            <w:tcW w:w="2269" w:type="pct"/>
          </w:tcPr>
          <w:p w:rsidR="00824412" w:rsidRPr="00941EEC" w:rsidRDefault="00824412" w:rsidP="00C2612E">
            <w:pPr>
              <w:jc w:val="center"/>
              <w:rPr>
                <w:sz w:val="23"/>
                <w:szCs w:val="23"/>
              </w:rPr>
            </w:pPr>
            <w:r w:rsidRPr="00941EEC">
              <w:rPr>
                <w:sz w:val="23"/>
                <w:szCs w:val="23"/>
              </w:rPr>
              <w:t>JUDGMENT</w:t>
            </w:r>
          </w:p>
          <w:p w:rsidR="00824412" w:rsidRPr="00941EEC" w:rsidRDefault="00824412" w:rsidP="00417FB7">
            <w:pPr>
              <w:jc w:val="center"/>
              <w:rPr>
                <w:sz w:val="23"/>
                <w:szCs w:val="23"/>
              </w:rPr>
            </w:pPr>
          </w:p>
          <w:p w:rsidR="00824412" w:rsidRPr="00941EEC" w:rsidRDefault="00537601" w:rsidP="00011960">
            <w:pPr>
              <w:jc w:val="both"/>
              <w:rPr>
                <w:sz w:val="23"/>
                <w:szCs w:val="23"/>
              </w:rPr>
            </w:pPr>
            <w:r w:rsidRPr="00941EEC">
              <w:rPr>
                <w:sz w:val="23"/>
                <w:szCs w:val="23"/>
              </w:rPr>
              <w:t xml:space="preserve">The motion for an extension of time </w:t>
            </w:r>
            <w:r w:rsidR="00BA09BE" w:rsidRPr="00941EEC">
              <w:rPr>
                <w:sz w:val="23"/>
                <w:szCs w:val="23"/>
              </w:rPr>
              <w:t xml:space="preserve">to serve and file the application for leave to cross-appeal </w:t>
            </w:r>
            <w:r w:rsidRPr="00941EEC">
              <w:rPr>
                <w:sz w:val="23"/>
                <w:szCs w:val="23"/>
              </w:rPr>
              <w:t>is granted. The application for leave to cross-appeal from the judgment of the</w:t>
            </w:r>
            <w:bookmarkStart w:id="1" w:name="BM_1_"/>
            <w:bookmarkEnd w:id="1"/>
            <w:r w:rsidRPr="00941EEC">
              <w:rPr>
                <w:sz w:val="23"/>
                <w:szCs w:val="23"/>
              </w:rPr>
              <w:t xml:space="preserve"> Court of Appeal for British Columbia (Vancouver), Numbers CA037090 and CA037107, 2011 BCCA 192, dated April 14, 2011 is granted with costs in the cause.</w:t>
            </w:r>
          </w:p>
        </w:tc>
        <w:tc>
          <w:tcPr>
            <w:tcW w:w="381" w:type="pct"/>
          </w:tcPr>
          <w:p w:rsidR="00824412" w:rsidRPr="00941EEC" w:rsidRDefault="00824412" w:rsidP="00417F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0" w:type="pct"/>
          </w:tcPr>
          <w:p w:rsidR="00824412" w:rsidRPr="00941EEC" w:rsidRDefault="00824412" w:rsidP="00C2612E">
            <w:pPr>
              <w:jc w:val="center"/>
              <w:rPr>
                <w:sz w:val="23"/>
                <w:szCs w:val="23"/>
                <w:lang w:val="fr-CA"/>
              </w:rPr>
            </w:pPr>
            <w:r w:rsidRPr="00941EEC">
              <w:rPr>
                <w:sz w:val="23"/>
                <w:szCs w:val="23"/>
                <w:lang w:val="fr-CA"/>
              </w:rPr>
              <w:t>JUGEMENT</w:t>
            </w:r>
          </w:p>
          <w:p w:rsidR="00824412" w:rsidRPr="00941EEC" w:rsidRDefault="00824412" w:rsidP="00417FB7">
            <w:pPr>
              <w:jc w:val="center"/>
              <w:rPr>
                <w:sz w:val="23"/>
                <w:szCs w:val="23"/>
                <w:lang w:val="fr-CA"/>
              </w:rPr>
            </w:pPr>
          </w:p>
          <w:p w:rsidR="00824412" w:rsidRPr="00941EEC" w:rsidRDefault="00BA09BE" w:rsidP="00011960">
            <w:pPr>
              <w:jc w:val="both"/>
              <w:rPr>
                <w:sz w:val="23"/>
                <w:szCs w:val="23"/>
                <w:lang w:val="fr-CA"/>
              </w:rPr>
            </w:pPr>
            <w:r w:rsidRPr="00941EEC">
              <w:rPr>
                <w:sz w:val="23"/>
                <w:szCs w:val="23"/>
                <w:lang w:val="fr-CA"/>
              </w:rPr>
              <w:t>La requête en  prorogation du</w:t>
            </w:r>
            <w:r w:rsidR="00537601" w:rsidRPr="00941EEC">
              <w:rPr>
                <w:sz w:val="23"/>
                <w:szCs w:val="23"/>
                <w:lang w:val="fr-CA"/>
              </w:rPr>
              <w:t xml:space="preserve"> délai </w:t>
            </w:r>
            <w:r w:rsidRPr="00941EEC">
              <w:rPr>
                <w:sz w:val="23"/>
                <w:szCs w:val="23"/>
                <w:lang w:val="fr-CA"/>
              </w:rPr>
              <w:t>de signification et de dépôt de la demande d’autorisation d’appel incident est accueilli</w:t>
            </w:r>
            <w:r w:rsidR="00537601" w:rsidRPr="00941EEC">
              <w:rPr>
                <w:sz w:val="23"/>
                <w:szCs w:val="23"/>
                <w:lang w:val="fr-CA"/>
              </w:rPr>
              <w:t>e.  La demande d’autorisation d’appel</w:t>
            </w:r>
            <w:r w:rsidR="008F7B7A" w:rsidRPr="00941EEC">
              <w:rPr>
                <w:sz w:val="23"/>
                <w:szCs w:val="23"/>
                <w:lang w:val="fr-CA"/>
              </w:rPr>
              <w:t xml:space="preserve"> incident</w:t>
            </w:r>
            <w:r w:rsidR="00537601" w:rsidRPr="00941EEC">
              <w:rPr>
                <w:sz w:val="23"/>
                <w:szCs w:val="23"/>
                <w:lang w:val="fr-CA"/>
              </w:rPr>
              <w:t xml:space="preserve"> de l’arrêt de la Cour d’appel de la Colombie-Britannique (Vancouver), numéros CA037090 et CA037107, 2011 BCCA 192, daté du 14 avril 2011, est accueilli</w:t>
            </w:r>
            <w:r w:rsidR="008F7B7A" w:rsidRPr="00941EEC">
              <w:rPr>
                <w:sz w:val="23"/>
                <w:szCs w:val="23"/>
                <w:lang w:val="fr-CA"/>
              </w:rPr>
              <w:t>e</w:t>
            </w:r>
            <w:r w:rsidR="00537601" w:rsidRPr="00941EEC">
              <w:rPr>
                <w:sz w:val="23"/>
                <w:szCs w:val="23"/>
                <w:lang w:val="fr-CA"/>
              </w:rPr>
              <w:t xml:space="preserve"> avec dépens suivant l’issue de la cause.</w:t>
            </w:r>
          </w:p>
        </w:tc>
      </w:tr>
    </w:tbl>
    <w:p w:rsidR="0027603A" w:rsidRDefault="0027603A" w:rsidP="0027603A">
      <w:pPr>
        <w:jc w:val="center"/>
        <w:rPr>
          <w:lang w:val="fr-CA"/>
        </w:rPr>
      </w:pPr>
    </w:p>
    <w:p w:rsidR="00941EEC" w:rsidRDefault="00941EEC" w:rsidP="0027603A">
      <w:pPr>
        <w:jc w:val="center"/>
        <w:rPr>
          <w:lang w:val="fr-CA"/>
        </w:rPr>
      </w:pPr>
    </w:p>
    <w:p w:rsidR="0027603A" w:rsidRPr="00D83B8C" w:rsidRDefault="0027603A" w:rsidP="0027603A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27603A" w:rsidP="0027603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8F53F3">
      <w:headerReference w:type="defaul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0" w:rsidRDefault="00CF0900">
      <w:r>
        <w:separator/>
      </w:r>
    </w:p>
  </w:endnote>
  <w:endnote w:type="continuationSeparator" w:id="0">
    <w:p w:rsidR="00CF0900" w:rsidRDefault="00CF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0" w:rsidRDefault="00CF0900">
      <w:r>
        <w:separator/>
      </w:r>
    </w:p>
  </w:footnote>
  <w:footnote w:type="continuationSeparator" w:id="0">
    <w:p w:rsidR="00CF0900" w:rsidRDefault="00CF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BE" w:rsidRDefault="00BA09B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44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442B" w:rsidRPr="00417FB7">
      <w:rPr>
        <w:szCs w:val="24"/>
      </w:rPr>
      <w:fldChar w:fldCharType="separate"/>
    </w:r>
    <w:r w:rsidR="00FE4F0F">
      <w:rPr>
        <w:noProof/>
        <w:szCs w:val="24"/>
      </w:rPr>
      <w:t>2</w:t>
    </w:r>
    <w:r w:rsidR="008044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A09BE" w:rsidRDefault="00BA09BE" w:rsidP="008F53F3">
    <w:pPr>
      <w:rPr>
        <w:szCs w:val="24"/>
      </w:rPr>
    </w:pPr>
  </w:p>
  <w:p w:rsidR="00BA09BE" w:rsidRDefault="00BA09BE" w:rsidP="008F53F3">
    <w:pPr>
      <w:rPr>
        <w:szCs w:val="24"/>
      </w:rPr>
    </w:pPr>
  </w:p>
  <w:p w:rsidR="00BA09BE" w:rsidRDefault="00BA09B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34304</w:t>
    </w:r>
    <w:r>
      <w:rPr>
        <w:szCs w:val="24"/>
      </w:rPr>
      <w:t>     </w:t>
    </w:r>
  </w:p>
  <w:p w:rsidR="00BA09BE" w:rsidRDefault="00BA09BE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03"/>
    <w:multiLevelType w:val="hybridMultilevel"/>
    <w:tmpl w:val="A98CD4A0"/>
    <w:lvl w:ilvl="0" w:tplc="850244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697F"/>
    <w:multiLevelType w:val="hybridMultilevel"/>
    <w:tmpl w:val="0630D3C2"/>
    <w:lvl w:ilvl="0" w:tplc="96FCEF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AAE"/>
    <w:multiLevelType w:val="hybridMultilevel"/>
    <w:tmpl w:val="C1683632"/>
    <w:lvl w:ilvl="0" w:tplc="C826EC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A7D77"/>
    <w:multiLevelType w:val="hybridMultilevel"/>
    <w:tmpl w:val="3F483078"/>
    <w:lvl w:ilvl="0" w:tplc="ECEA5B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60C7"/>
    <w:rsid w:val="00091327"/>
    <w:rsid w:val="000919B4"/>
    <w:rsid w:val="000B4AA7"/>
    <w:rsid w:val="000B76FF"/>
    <w:rsid w:val="000D7521"/>
    <w:rsid w:val="000E4CCE"/>
    <w:rsid w:val="00120E90"/>
    <w:rsid w:val="0016666F"/>
    <w:rsid w:val="00167C15"/>
    <w:rsid w:val="001D0116"/>
    <w:rsid w:val="001D4323"/>
    <w:rsid w:val="001D7365"/>
    <w:rsid w:val="00203642"/>
    <w:rsid w:val="002523DE"/>
    <w:rsid w:val="002568D3"/>
    <w:rsid w:val="0027284C"/>
    <w:rsid w:val="0027603A"/>
    <w:rsid w:val="002B5FA6"/>
    <w:rsid w:val="002F0017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0AE1"/>
    <w:rsid w:val="004132CC"/>
    <w:rsid w:val="00414694"/>
    <w:rsid w:val="00417FB7"/>
    <w:rsid w:val="0042783F"/>
    <w:rsid w:val="00443AFA"/>
    <w:rsid w:val="004943CF"/>
    <w:rsid w:val="004956DA"/>
    <w:rsid w:val="004D4658"/>
    <w:rsid w:val="005179EC"/>
    <w:rsid w:val="00537601"/>
    <w:rsid w:val="00546E77"/>
    <w:rsid w:val="00563E2C"/>
    <w:rsid w:val="00587869"/>
    <w:rsid w:val="005A5CB5"/>
    <w:rsid w:val="00612913"/>
    <w:rsid w:val="00614908"/>
    <w:rsid w:val="00650109"/>
    <w:rsid w:val="00665E70"/>
    <w:rsid w:val="006E7BAE"/>
    <w:rsid w:val="006F4840"/>
    <w:rsid w:val="00701109"/>
    <w:rsid w:val="00730ECF"/>
    <w:rsid w:val="00735683"/>
    <w:rsid w:val="007372EA"/>
    <w:rsid w:val="0079129C"/>
    <w:rsid w:val="007917FE"/>
    <w:rsid w:val="007A54CC"/>
    <w:rsid w:val="007C5DE8"/>
    <w:rsid w:val="007E68C7"/>
    <w:rsid w:val="0080442B"/>
    <w:rsid w:val="00816B78"/>
    <w:rsid w:val="00824412"/>
    <w:rsid w:val="008262A3"/>
    <w:rsid w:val="00830BBE"/>
    <w:rsid w:val="0086042A"/>
    <w:rsid w:val="008763A3"/>
    <w:rsid w:val="008813BC"/>
    <w:rsid w:val="0088747F"/>
    <w:rsid w:val="008A153F"/>
    <w:rsid w:val="008F3ACB"/>
    <w:rsid w:val="008F53F3"/>
    <w:rsid w:val="008F7B7A"/>
    <w:rsid w:val="009305BF"/>
    <w:rsid w:val="00932818"/>
    <w:rsid w:val="00941EEC"/>
    <w:rsid w:val="00951EF6"/>
    <w:rsid w:val="00966360"/>
    <w:rsid w:val="0096638C"/>
    <w:rsid w:val="00971A08"/>
    <w:rsid w:val="00987536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3698"/>
    <w:rsid w:val="00B158E3"/>
    <w:rsid w:val="00B408F8"/>
    <w:rsid w:val="00B5078E"/>
    <w:rsid w:val="00B60EDC"/>
    <w:rsid w:val="00BA09BE"/>
    <w:rsid w:val="00BD4E4C"/>
    <w:rsid w:val="00BF7644"/>
    <w:rsid w:val="00C1285B"/>
    <w:rsid w:val="00C2612E"/>
    <w:rsid w:val="00CE249F"/>
    <w:rsid w:val="00CF0900"/>
    <w:rsid w:val="00CF17D0"/>
    <w:rsid w:val="00D42339"/>
    <w:rsid w:val="00D61AC2"/>
    <w:rsid w:val="00D83B8C"/>
    <w:rsid w:val="00E12A51"/>
    <w:rsid w:val="00E777AD"/>
    <w:rsid w:val="00EA38B2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4F0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A292-85B2-4EE7-B7BD-FE0D2C7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2012-04-04T15:58:00Z</cp:lastPrinted>
  <dcterms:created xsi:type="dcterms:W3CDTF">2012-04-03T19:47:00Z</dcterms:created>
  <dcterms:modified xsi:type="dcterms:W3CDTF">2012-04-10T17:34:00Z</dcterms:modified>
</cp:coreProperties>
</file>