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9F436C" w:rsidP="00382FEC">
      <w:bookmarkStart w:id="0" w:name="_GoBack"/>
      <w:bookmarkEnd w:id="0"/>
    </w:p>
    <w:p w:rsidR="009F436C" w:rsidRPr="006E7BAE" w:rsidRDefault="003A37CF" w:rsidP="00AE2077">
      <w:pPr>
        <w:jc w:val="right"/>
      </w:pPr>
      <w:r w:rsidRPr="006E7BAE">
        <w:t>N</w:t>
      </w:r>
      <w:r w:rsidRPr="006A78A0">
        <w:rPr>
          <w:vertAlign w:val="superscript"/>
        </w:rPr>
        <w:t>o</w:t>
      </w:r>
      <w:r w:rsidRPr="006E7BAE">
        <w:t xml:space="preserve"> </w:t>
      </w:r>
      <w:r>
        <w:t>34169</w:t>
      </w:r>
      <w:r w:rsidR="0016666F" w:rsidRPr="006E7BAE">
        <w:t>     </w:t>
      </w:r>
    </w:p>
    <w:p w:rsidR="002568D3" w:rsidRPr="006E7BAE" w:rsidRDefault="002568D3" w:rsidP="00382FEC"/>
    <w:tbl>
      <w:tblPr>
        <w:tblW w:w="4937" w:type="pct"/>
        <w:tblLayout w:type="fixed"/>
        <w:tblCellMar>
          <w:left w:w="29" w:type="dxa"/>
          <w:right w:w="29" w:type="dxa"/>
        </w:tblCellMar>
        <w:tblLook w:val="0000" w:firstRow="0" w:lastRow="0" w:firstColumn="0" w:lastColumn="0" w:noHBand="0" w:noVBand="0"/>
      </w:tblPr>
      <w:tblGrid>
        <w:gridCol w:w="4276"/>
        <w:gridCol w:w="718"/>
        <w:gridCol w:w="4305"/>
      </w:tblGrid>
      <w:tr w:rsidR="00417FB7" w:rsidRPr="006E7BAE" w:rsidTr="006A78A0">
        <w:tc>
          <w:tcPr>
            <w:tcW w:w="2299" w:type="pct"/>
          </w:tcPr>
          <w:p w:rsidR="00417FB7" w:rsidRPr="006E7BAE" w:rsidRDefault="006A78A0" w:rsidP="006A78A0">
            <w:r>
              <w:t xml:space="preserve">Le 22 </w:t>
            </w:r>
            <w:proofErr w:type="spellStart"/>
            <w:r>
              <w:t>septembre</w:t>
            </w:r>
            <w:proofErr w:type="spellEnd"/>
            <w:r>
              <w:t xml:space="preserve"> 2011 </w:t>
            </w:r>
          </w:p>
        </w:tc>
        <w:tc>
          <w:tcPr>
            <w:tcW w:w="386" w:type="pct"/>
          </w:tcPr>
          <w:p w:rsidR="00417FB7" w:rsidRPr="006E7BAE" w:rsidRDefault="00417FB7" w:rsidP="00382FEC"/>
        </w:tc>
        <w:tc>
          <w:tcPr>
            <w:tcW w:w="2316" w:type="pct"/>
          </w:tcPr>
          <w:p w:rsidR="00417FB7" w:rsidRPr="00D83B8C" w:rsidRDefault="006A78A0" w:rsidP="00656DC9">
            <w:pPr>
              <w:rPr>
                <w:lang w:val="en-US"/>
              </w:rPr>
            </w:pPr>
            <w:r>
              <w:t>September 22, 2011</w:t>
            </w:r>
          </w:p>
        </w:tc>
      </w:tr>
      <w:tr w:rsidR="00E12A51" w:rsidRPr="006E7BAE" w:rsidTr="006A78A0">
        <w:tc>
          <w:tcPr>
            <w:tcW w:w="2299" w:type="pct"/>
          </w:tcPr>
          <w:p w:rsidR="00C2612E" w:rsidRPr="006E7BAE" w:rsidRDefault="00C2612E" w:rsidP="008262A3"/>
        </w:tc>
        <w:tc>
          <w:tcPr>
            <w:tcW w:w="386" w:type="pct"/>
          </w:tcPr>
          <w:p w:rsidR="00E12A51" w:rsidRPr="006E7BAE" w:rsidRDefault="00E12A51" w:rsidP="00382FEC"/>
        </w:tc>
        <w:tc>
          <w:tcPr>
            <w:tcW w:w="2316" w:type="pct"/>
          </w:tcPr>
          <w:p w:rsidR="00E12A51" w:rsidRPr="00D83B8C" w:rsidRDefault="00E12A51" w:rsidP="00816B78">
            <w:pPr>
              <w:rPr>
                <w:lang w:val="en-US"/>
              </w:rPr>
            </w:pPr>
          </w:p>
        </w:tc>
      </w:tr>
      <w:tr w:rsidR="00417FB7" w:rsidRPr="006E7BAE" w:rsidTr="006A78A0">
        <w:tc>
          <w:tcPr>
            <w:tcW w:w="2299" w:type="pct"/>
          </w:tcPr>
          <w:p w:rsidR="00417FB7" w:rsidRPr="006E7BAE" w:rsidRDefault="006A78A0" w:rsidP="006A78A0">
            <w:r w:rsidRPr="006A78A0">
              <w:rPr>
                <w:lang w:val="en-US"/>
              </w:rPr>
              <w:t xml:space="preserve">Coram : </w:t>
            </w:r>
            <w:r>
              <w:t xml:space="preserve">Les </w:t>
            </w:r>
            <w:proofErr w:type="spellStart"/>
            <w:r>
              <w:t>juges</w:t>
            </w:r>
            <w:proofErr w:type="spellEnd"/>
            <w:r>
              <w:t xml:space="preserve"> </w:t>
            </w:r>
            <w:proofErr w:type="spellStart"/>
            <w:r>
              <w:t>LeBel</w:t>
            </w:r>
            <w:proofErr w:type="spellEnd"/>
            <w:r>
              <w:t>, Fish et Cromwell</w:t>
            </w:r>
            <w:r w:rsidRPr="006E7BAE">
              <w:t xml:space="preserve"> </w:t>
            </w:r>
          </w:p>
        </w:tc>
        <w:tc>
          <w:tcPr>
            <w:tcW w:w="386" w:type="pct"/>
          </w:tcPr>
          <w:p w:rsidR="00417FB7" w:rsidRPr="006E7BAE" w:rsidRDefault="00417FB7" w:rsidP="00382FEC"/>
        </w:tc>
        <w:tc>
          <w:tcPr>
            <w:tcW w:w="2316" w:type="pct"/>
          </w:tcPr>
          <w:p w:rsidR="00417FB7" w:rsidRPr="006A78A0" w:rsidRDefault="006A78A0" w:rsidP="00382FEC">
            <w:pPr>
              <w:rPr>
                <w:lang w:val="en-US"/>
              </w:rPr>
            </w:pPr>
            <w:r w:rsidRPr="006E7BAE">
              <w:t xml:space="preserve">Coram:  </w:t>
            </w:r>
            <w:r>
              <w:t>LeBel, Fish and Cromwell JJ.</w:t>
            </w:r>
          </w:p>
        </w:tc>
      </w:tr>
      <w:tr w:rsidR="00C2612E" w:rsidRPr="006E7BAE" w:rsidTr="006A78A0">
        <w:tc>
          <w:tcPr>
            <w:tcW w:w="2299" w:type="pct"/>
          </w:tcPr>
          <w:p w:rsidR="00C2612E" w:rsidRPr="006E7BAE" w:rsidRDefault="00C2612E" w:rsidP="008262A3"/>
        </w:tc>
        <w:tc>
          <w:tcPr>
            <w:tcW w:w="386" w:type="pct"/>
          </w:tcPr>
          <w:p w:rsidR="00C2612E" w:rsidRPr="006E7BAE" w:rsidRDefault="00C2612E" w:rsidP="00382FEC"/>
        </w:tc>
        <w:tc>
          <w:tcPr>
            <w:tcW w:w="2316" w:type="pct"/>
          </w:tcPr>
          <w:p w:rsidR="00C2612E" w:rsidRPr="006A78A0" w:rsidRDefault="00C2612E" w:rsidP="00382FEC">
            <w:pPr>
              <w:rPr>
                <w:lang w:val="en-US"/>
              </w:rPr>
            </w:pPr>
          </w:p>
        </w:tc>
      </w:tr>
      <w:tr w:rsidR="00824412" w:rsidRPr="00341C2F" w:rsidTr="006A78A0">
        <w:tc>
          <w:tcPr>
            <w:tcW w:w="2299" w:type="pct"/>
            <w:vAlign w:val="center"/>
          </w:tcPr>
          <w:p w:rsidR="006A78A0" w:rsidRPr="00341C2F" w:rsidRDefault="006A78A0" w:rsidP="006A78A0">
            <w:pPr>
              <w:pStyle w:val="SCCLsocPrefix"/>
              <w:rPr>
                <w:lang w:val="fr-CA"/>
              </w:rPr>
            </w:pPr>
            <w:r w:rsidRPr="00341C2F">
              <w:rPr>
                <w:lang w:val="fr-CA"/>
              </w:rPr>
              <w:t>ENTRE :</w:t>
            </w:r>
            <w:r w:rsidRPr="00341C2F">
              <w:rPr>
                <w:lang w:val="fr-CA"/>
              </w:rPr>
              <w:br/>
            </w:r>
          </w:p>
          <w:p w:rsidR="006A78A0" w:rsidRPr="00341C2F" w:rsidRDefault="006A78A0" w:rsidP="006A78A0">
            <w:pPr>
              <w:pStyle w:val="SCCLsocParty"/>
              <w:rPr>
                <w:lang w:val="fr-CA"/>
              </w:rPr>
            </w:pPr>
            <w:proofErr w:type="spellStart"/>
            <w:r w:rsidRPr="00341C2F">
              <w:rPr>
                <w:lang w:val="fr-CA"/>
              </w:rPr>
              <w:t>Souma</w:t>
            </w:r>
            <w:r w:rsidR="00561CC1">
              <w:rPr>
                <w:rFonts w:cs="Times New Roman"/>
                <w:lang w:val="fr-CA"/>
              </w:rPr>
              <w:t>ï</w:t>
            </w:r>
            <w:r w:rsidRPr="00341C2F">
              <w:rPr>
                <w:lang w:val="fr-CA"/>
              </w:rPr>
              <w:t>ne</w:t>
            </w:r>
            <w:proofErr w:type="spellEnd"/>
            <w:r w:rsidRPr="00341C2F">
              <w:rPr>
                <w:lang w:val="fr-CA"/>
              </w:rPr>
              <w:t xml:space="preserve"> </w:t>
            </w:r>
            <w:proofErr w:type="spellStart"/>
            <w:r w:rsidRPr="00341C2F">
              <w:rPr>
                <w:lang w:val="fr-CA"/>
              </w:rPr>
              <w:t>Dehkissia</w:t>
            </w:r>
            <w:proofErr w:type="spellEnd"/>
            <w:r w:rsidRPr="00341C2F">
              <w:rPr>
                <w:lang w:val="fr-CA"/>
              </w:rPr>
              <w:br/>
            </w:r>
          </w:p>
          <w:p w:rsidR="006A78A0" w:rsidRPr="00341C2F" w:rsidRDefault="006A78A0" w:rsidP="006A78A0">
            <w:pPr>
              <w:pStyle w:val="SCCLsocPartyRole"/>
              <w:rPr>
                <w:lang w:val="fr-CA"/>
              </w:rPr>
            </w:pPr>
            <w:r>
              <w:rPr>
                <w:lang w:val="fr-CA"/>
              </w:rPr>
              <w:t>Demandeur</w:t>
            </w:r>
            <w:r w:rsidRPr="00341C2F">
              <w:rPr>
                <w:lang w:val="fr-CA"/>
              </w:rPr>
              <w:br/>
            </w:r>
          </w:p>
          <w:p w:rsidR="006A78A0" w:rsidRPr="00341C2F" w:rsidRDefault="006A78A0" w:rsidP="006A78A0">
            <w:pPr>
              <w:pStyle w:val="SCCLsocVersus"/>
              <w:rPr>
                <w:lang w:val="fr-CA"/>
              </w:rPr>
            </w:pPr>
            <w:r w:rsidRPr="00341C2F">
              <w:rPr>
                <w:lang w:val="fr-CA"/>
              </w:rPr>
              <w:t>- et -</w:t>
            </w:r>
            <w:r w:rsidRPr="00341C2F">
              <w:rPr>
                <w:lang w:val="fr-CA"/>
              </w:rPr>
              <w:br/>
            </w:r>
          </w:p>
          <w:p w:rsidR="006A78A0" w:rsidRPr="00341C2F" w:rsidRDefault="006A78A0" w:rsidP="006A78A0">
            <w:pPr>
              <w:pStyle w:val="SCCLsocParty"/>
              <w:rPr>
                <w:lang w:val="fr-CA"/>
              </w:rPr>
            </w:pPr>
            <w:r w:rsidRPr="00341C2F">
              <w:rPr>
                <w:lang w:val="fr-CA"/>
              </w:rPr>
              <w:t xml:space="preserve">Serge </w:t>
            </w:r>
            <w:proofErr w:type="spellStart"/>
            <w:r w:rsidRPr="00341C2F">
              <w:rPr>
                <w:lang w:val="fr-CA"/>
              </w:rPr>
              <w:t>Kaliaguine</w:t>
            </w:r>
            <w:proofErr w:type="spellEnd"/>
            <w:r w:rsidRPr="00341C2F">
              <w:rPr>
                <w:lang w:val="fr-CA"/>
              </w:rPr>
              <w:br/>
            </w:r>
          </w:p>
          <w:p w:rsidR="00EA6D70" w:rsidRDefault="006A78A0" w:rsidP="006A78A0">
            <w:pPr>
              <w:pStyle w:val="SCCLsocPrefix"/>
              <w:jc w:val="center"/>
            </w:pPr>
            <w:r w:rsidRPr="006A78A0">
              <w:rPr>
                <w:b w:val="0"/>
                <w:lang w:val="fr-CA"/>
              </w:rPr>
              <w:t>Intimé</w:t>
            </w:r>
          </w:p>
        </w:tc>
        <w:tc>
          <w:tcPr>
            <w:tcW w:w="386" w:type="pct"/>
            <w:vAlign w:val="center"/>
          </w:tcPr>
          <w:p w:rsidR="00824412" w:rsidRPr="006E7BAE" w:rsidRDefault="00824412" w:rsidP="00375294"/>
        </w:tc>
        <w:tc>
          <w:tcPr>
            <w:tcW w:w="2316" w:type="pct"/>
            <w:vAlign w:val="center"/>
          </w:tcPr>
          <w:p w:rsidR="006A78A0" w:rsidRDefault="006A78A0" w:rsidP="006A78A0">
            <w:pPr>
              <w:pStyle w:val="SCCLsocPrefix"/>
            </w:pPr>
            <w:r>
              <w:t>BETWEEN:</w:t>
            </w:r>
            <w:r>
              <w:br/>
            </w:r>
          </w:p>
          <w:p w:rsidR="006A78A0" w:rsidRDefault="006A78A0" w:rsidP="006A78A0">
            <w:pPr>
              <w:pStyle w:val="SCCLsocParty"/>
            </w:pPr>
            <w:proofErr w:type="spellStart"/>
            <w:r>
              <w:t>Souma</w:t>
            </w:r>
            <w:r w:rsidR="00561CC1">
              <w:rPr>
                <w:rFonts w:cs="Times New Roman"/>
              </w:rPr>
              <w:t>ï</w:t>
            </w:r>
            <w:r>
              <w:t>ne</w:t>
            </w:r>
            <w:proofErr w:type="spellEnd"/>
            <w:r>
              <w:t xml:space="preserve"> </w:t>
            </w:r>
            <w:proofErr w:type="spellStart"/>
            <w:r>
              <w:t>Dehkissia</w:t>
            </w:r>
            <w:proofErr w:type="spellEnd"/>
            <w:r>
              <w:br/>
            </w:r>
          </w:p>
          <w:p w:rsidR="006A78A0" w:rsidRDefault="006A78A0" w:rsidP="006A78A0">
            <w:pPr>
              <w:pStyle w:val="SCCLsocPartyRole"/>
            </w:pPr>
            <w:r>
              <w:t>Applicant</w:t>
            </w:r>
            <w:r>
              <w:br/>
            </w:r>
          </w:p>
          <w:p w:rsidR="006A78A0" w:rsidRDefault="006A78A0" w:rsidP="006A78A0">
            <w:pPr>
              <w:pStyle w:val="SCCLsocVersus"/>
            </w:pPr>
            <w:r>
              <w:t>- and -</w:t>
            </w:r>
            <w:r>
              <w:br/>
            </w:r>
          </w:p>
          <w:p w:rsidR="006A78A0" w:rsidRDefault="006A78A0" w:rsidP="006A78A0">
            <w:pPr>
              <w:pStyle w:val="SCCLsocParty"/>
            </w:pPr>
            <w:r>
              <w:t xml:space="preserve">Serge </w:t>
            </w:r>
            <w:proofErr w:type="spellStart"/>
            <w:r>
              <w:t>Kaliaguine</w:t>
            </w:r>
            <w:proofErr w:type="spellEnd"/>
            <w:r>
              <w:br/>
            </w:r>
          </w:p>
          <w:p w:rsidR="00EA6D70" w:rsidRPr="00341C2F" w:rsidRDefault="006A78A0" w:rsidP="006A78A0">
            <w:pPr>
              <w:pStyle w:val="SCCLsocPartyRole"/>
              <w:rPr>
                <w:lang w:val="fr-CA"/>
              </w:rPr>
            </w:pPr>
            <w:r>
              <w:t>Respondent</w:t>
            </w:r>
          </w:p>
        </w:tc>
      </w:tr>
      <w:tr w:rsidR="00824412" w:rsidRPr="00341C2F" w:rsidTr="006A78A0">
        <w:tc>
          <w:tcPr>
            <w:tcW w:w="2299" w:type="pct"/>
            <w:vAlign w:val="center"/>
          </w:tcPr>
          <w:p w:rsidR="00824412" w:rsidRPr="00341C2F" w:rsidRDefault="00824412" w:rsidP="00375294">
            <w:pPr>
              <w:rPr>
                <w:lang w:val="fr-CA"/>
              </w:rPr>
            </w:pPr>
          </w:p>
        </w:tc>
        <w:tc>
          <w:tcPr>
            <w:tcW w:w="386" w:type="pct"/>
            <w:vAlign w:val="center"/>
          </w:tcPr>
          <w:p w:rsidR="00824412" w:rsidRPr="00341C2F" w:rsidRDefault="00824412" w:rsidP="00375294">
            <w:pPr>
              <w:rPr>
                <w:lang w:val="fr-CA"/>
              </w:rPr>
            </w:pPr>
          </w:p>
        </w:tc>
        <w:tc>
          <w:tcPr>
            <w:tcW w:w="2316" w:type="pct"/>
            <w:vAlign w:val="center"/>
          </w:tcPr>
          <w:p w:rsidR="00824412" w:rsidRPr="00341C2F" w:rsidRDefault="00824412" w:rsidP="00B408F8">
            <w:pPr>
              <w:rPr>
                <w:lang w:val="fr-CA"/>
              </w:rPr>
            </w:pPr>
          </w:p>
        </w:tc>
      </w:tr>
      <w:tr w:rsidR="00824412" w:rsidRPr="006A78A0" w:rsidTr="006A78A0">
        <w:tc>
          <w:tcPr>
            <w:tcW w:w="2299" w:type="pct"/>
          </w:tcPr>
          <w:p w:rsidR="006A78A0" w:rsidRPr="006E7BAE" w:rsidRDefault="006A78A0" w:rsidP="006A78A0">
            <w:pPr>
              <w:jc w:val="center"/>
              <w:rPr>
                <w:lang w:val="fr-CA"/>
              </w:rPr>
            </w:pPr>
            <w:r w:rsidRPr="006E7BAE">
              <w:rPr>
                <w:lang w:val="fr-CA"/>
              </w:rPr>
              <w:t>JUGEMENT</w:t>
            </w:r>
          </w:p>
          <w:p w:rsidR="006A78A0" w:rsidRPr="006E7BAE" w:rsidRDefault="006A78A0" w:rsidP="006A78A0">
            <w:pPr>
              <w:jc w:val="center"/>
              <w:rPr>
                <w:lang w:val="fr-CA"/>
              </w:rPr>
            </w:pPr>
          </w:p>
          <w:p w:rsidR="00824412" w:rsidRPr="006A78A0" w:rsidRDefault="006A78A0" w:rsidP="006A78A0">
            <w:pPr>
              <w:jc w:val="both"/>
              <w:rPr>
                <w:lang w:val="fr-CA"/>
              </w:rPr>
            </w:pPr>
            <w:r>
              <w:rPr>
                <w:lang w:val="fr-CA"/>
              </w:rPr>
              <w:t>La requête en prorogation du délai de signification et de dép</w:t>
            </w:r>
            <w:r>
              <w:rPr>
                <w:rFonts w:cs="Times New Roman"/>
                <w:lang w:val="fr-CA"/>
              </w:rPr>
              <w:t>ô</w:t>
            </w:r>
            <w:r>
              <w:rPr>
                <w:lang w:val="fr-CA"/>
              </w:rPr>
              <w:t xml:space="preserve">t de la demande d’autorisation d’appel est accordée. La requête du demandeur en révision de l’ordonnance du registraire, datée du 11 août 2011, rejetant sa demande d’autorisation de déposer de nouveaux éléments de preuve, est rejetée. </w:t>
            </w:r>
            <w:r w:rsidRPr="006E7BAE">
              <w:rPr>
                <w:lang w:val="fr-CA"/>
              </w:rPr>
              <w:t xml:space="preserve">La demande d’autorisation d’appel de l’arrêt de la </w:t>
            </w:r>
            <w:r w:rsidRPr="00341C2F">
              <w:rPr>
                <w:lang w:val="fr-CA"/>
              </w:rPr>
              <w:t>Cour d’appel du Québec (Québec)</w:t>
            </w:r>
            <w:r w:rsidRPr="006E7BAE">
              <w:rPr>
                <w:lang w:val="fr-CA"/>
              </w:rPr>
              <w:t xml:space="preserve">, numéro </w:t>
            </w:r>
            <w:r w:rsidRPr="00341C2F">
              <w:rPr>
                <w:lang w:val="fr-CA"/>
              </w:rPr>
              <w:t>200-09-006554-080, 2011 QCCA 84</w:t>
            </w:r>
            <w:r w:rsidRPr="006E7BAE">
              <w:rPr>
                <w:lang w:val="fr-CA"/>
              </w:rPr>
              <w:t xml:space="preserve">, daté du </w:t>
            </w:r>
            <w:r w:rsidRPr="00341C2F">
              <w:rPr>
                <w:lang w:val="fr-CA"/>
              </w:rPr>
              <w:t>18 janvier 2011</w:t>
            </w:r>
            <w:r w:rsidRPr="006E7BAE">
              <w:rPr>
                <w:lang w:val="fr-CA"/>
              </w:rPr>
              <w:t xml:space="preserve">, est </w:t>
            </w:r>
            <w:r>
              <w:rPr>
                <w:lang w:val="fr-CA"/>
              </w:rPr>
              <w:t>rejetée sans dépens.</w:t>
            </w:r>
            <w:r w:rsidRPr="006E7BAE">
              <w:rPr>
                <w:lang w:val="fr-CA"/>
              </w:rPr>
              <w:t xml:space="preserve"> </w:t>
            </w:r>
          </w:p>
        </w:tc>
        <w:tc>
          <w:tcPr>
            <w:tcW w:w="386" w:type="pct"/>
          </w:tcPr>
          <w:p w:rsidR="00824412" w:rsidRPr="006A78A0" w:rsidRDefault="00824412" w:rsidP="00417FB7">
            <w:pPr>
              <w:jc w:val="center"/>
              <w:rPr>
                <w:lang w:val="fr-CA"/>
              </w:rPr>
            </w:pPr>
          </w:p>
        </w:tc>
        <w:tc>
          <w:tcPr>
            <w:tcW w:w="2316" w:type="pct"/>
          </w:tcPr>
          <w:p w:rsidR="006A78A0" w:rsidRPr="006A78A0" w:rsidRDefault="006A78A0" w:rsidP="006A78A0">
            <w:pPr>
              <w:jc w:val="center"/>
              <w:rPr>
                <w:lang w:val="en-US"/>
              </w:rPr>
            </w:pPr>
            <w:r w:rsidRPr="006A78A0">
              <w:rPr>
                <w:lang w:val="en-US"/>
              </w:rPr>
              <w:t>JUDGMENT</w:t>
            </w:r>
          </w:p>
          <w:p w:rsidR="006A78A0" w:rsidRPr="006A78A0" w:rsidRDefault="006A78A0" w:rsidP="006A78A0">
            <w:pPr>
              <w:jc w:val="center"/>
              <w:rPr>
                <w:lang w:val="en-US"/>
              </w:rPr>
            </w:pPr>
          </w:p>
          <w:p w:rsidR="00824412" w:rsidRPr="006A78A0" w:rsidRDefault="006A78A0" w:rsidP="000F0E1D">
            <w:pPr>
              <w:jc w:val="both"/>
              <w:rPr>
                <w:lang w:val="en-US"/>
              </w:rPr>
            </w:pPr>
            <w:r>
              <w:t xml:space="preserve">The motion for an extension of time to serve and file the application for leave to appeal is granted. </w:t>
            </w:r>
            <w:r w:rsidRPr="00C737F2">
              <w:t xml:space="preserve">The Applicant’s motion requesting the revision of the Registrar’s order, dated August 11, 2011, dismissing his application to file new </w:t>
            </w:r>
            <w:proofErr w:type="gramStart"/>
            <w:r w:rsidRPr="00C737F2">
              <w:t>evidence,</w:t>
            </w:r>
            <w:proofErr w:type="gramEnd"/>
            <w:r w:rsidRPr="00C737F2">
              <w:t xml:space="preserve"> is dismissed.</w:t>
            </w:r>
            <w:r>
              <w:t xml:space="preserve"> </w:t>
            </w:r>
            <w:r w:rsidRPr="006E7BAE">
              <w:t>The application for leave to appeal from the judgment of the</w:t>
            </w:r>
            <w:bookmarkStart w:id="1" w:name="BM_1_"/>
            <w:bookmarkEnd w:id="1"/>
            <w:r w:rsidRPr="006E7BAE">
              <w:t xml:space="preserve"> </w:t>
            </w:r>
            <w:r>
              <w:t>Court of Appeal of Quebec (Québec)</w:t>
            </w:r>
            <w:r w:rsidRPr="006E7BAE">
              <w:t xml:space="preserve">, Number </w:t>
            </w:r>
            <w:r>
              <w:t>200-09-006554-080, 2011 QCCA 84</w:t>
            </w:r>
            <w:r w:rsidRPr="006E7BAE">
              <w:t>, dated</w:t>
            </w:r>
            <w:r>
              <w:t xml:space="preserve"> January 18, 2011,</w:t>
            </w:r>
            <w:r w:rsidRPr="006E7BAE">
              <w:t xml:space="preserve"> is </w:t>
            </w:r>
            <w:r>
              <w:t xml:space="preserve">dismissed without costs. </w:t>
            </w:r>
          </w:p>
        </w:tc>
      </w:tr>
    </w:tbl>
    <w:p w:rsidR="009F436C" w:rsidRPr="006A78A0" w:rsidRDefault="009F436C" w:rsidP="00382FEC">
      <w:pPr>
        <w:rPr>
          <w:lang w:val="en-US"/>
        </w:rPr>
      </w:pPr>
    </w:p>
    <w:p w:rsidR="00B22422" w:rsidRPr="006A78A0" w:rsidRDefault="00B22422" w:rsidP="00382FEC">
      <w:pPr>
        <w:rPr>
          <w:lang w:val="en-US"/>
        </w:rPr>
      </w:pPr>
    </w:p>
    <w:p w:rsidR="003A37CF" w:rsidRDefault="003A37CF" w:rsidP="00B22422">
      <w:pPr>
        <w:jc w:val="center"/>
        <w:rPr>
          <w:lang w:val="fr-CA"/>
        </w:rPr>
      </w:pPr>
      <w:r w:rsidRPr="00A252FA">
        <w:rPr>
          <w:lang w:val="fr-CA"/>
        </w:rPr>
        <w:t>J.C.S.C.</w:t>
      </w:r>
      <w:r w:rsidR="00B22422" w:rsidRPr="00D83B8C">
        <w:rPr>
          <w:lang w:val="fr-CA"/>
        </w:rPr>
        <w:t xml:space="preserve"> </w:t>
      </w:r>
    </w:p>
    <w:p w:rsidR="006A78A0" w:rsidRDefault="006A78A0" w:rsidP="006A78A0">
      <w:pPr>
        <w:jc w:val="center"/>
        <w:rPr>
          <w:lang w:val="fr-CA"/>
        </w:rPr>
      </w:pPr>
      <w:r w:rsidRPr="00A252FA">
        <w:rPr>
          <w:lang w:val="fr-CA"/>
        </w:rPr>
        <w:t>J.S.C.C.</w:t>
      </w:r>
    </w:p>
    <w:p w:rsidR="006A78A0" w:rsidRPr="00D83B8C" w:rsidRDefault="006A78A0" w:rsidP="00B22422">
      <w:pPr>
        <w:jc w:val="center"/>
        <w:rPr>
          <w:lang w:val="fr-CA"/>
        </w:rPr>
      </w:pPr>
    </w:p>
    <w:sectPr w:rsidR="006A78A0" w:rsidRPr="00D83B8C" w:rsidSect="00D228DD">
      <w:headerReference w:type="default" r:id="rId8"/>
      <w:pgSz w:w="12240" w:h="15840"/>
      <w:pgMar w:top="1440" w:right="1440" w:bottom="0" w:left="1440" w:header="1440" w:footer="4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562361" w:rsidRPr="00417FB7">
      <w:rPr>
        <w:szCs w:val="24"/>
      </w:rPr>
      <w:fldChar w:fldCharType="begin"/>
    </w:r>
    <w:r w:rsidRPr="00417FB7">
      <w:rPr>
        <w:szCs w:val="24"/>
      </w:rPr>
      <w:instrText xml:space="preserve"> PAGE   \* MERGEFORMAT </w:instrText>
    </w:r>
    <w:r w:rsidR="00562361" w:rsidRPr="00417FB7">
      <w:rPr>
        <w:szCs w:val="24"/>
      </w:rPr>
      <w:fldChar w:fldCharType="separate"/>
    </w:r>
    <w:r w:rsidR="006A78A0">
      <w:rPr>
        <w:noProof/>
        <w:szCs w:val="24"/>
      </w:rPr>
      <w:t>2</w:t>
    </w:r>
    <w:r w:rsidR="00562361"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34169</w:t>
    </w:r>
    <w:r>
      <w:rPr>
        <w:szCs w:val="24"/>
      </w:rPr>
      <w:t>     </w:t>
    </w:r>
  </w:p>
  <w:p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0F0E1D"/>
    <w:rsid w:val="001617AC"/>
    <w:rsid w:val="0016666F"/>
    <w:rsid w:val="00167C15"/>
    <w:rsid w:val="0017060D"/>
    <w:rsid w:val="001D0116"/>
    <w:rsid w:val="001D4323"/>
    <w:rsid w:val="00203642"/>
    <w:rsid w:val="002523DE"/>
    <w:rsid w:val="002568D3"/>
    <w:rsid w:val="002718B8"/>
    <w:rsid w:val="0027284C"/>
    <w:rsid w:val="002B5FA6"/>
    <w:rsid w:val="0031097F"/>
    <w:rsid w:val="0031165C"/>
    <w:rsid w:val="00341C2F"/>
    <w:rsid w:val="00356186"/>
    <w:rsid w:val="00374E7D"/>
    <w:rsid w:val="003750DA"/>
    <w:rsid w:val="00375294"/>
    <w:rsid w:val="00382FC7"/>
    <w:rsid w:val="00382FEC"/>
    <w:rsid w:val="00385A90"/>
    <w:rsid w:val="003A37CF"/>
    <w:rsid w:val="003B1F3D"/>
    <w:rsid w:val="00414694"/>
    <w:rsid w:val="00417FB7"/>
    <w:rsid w:val="0042783F"/>
    <w:rsid w:val="004943CF"/>
    <w:rsid w:val="004956DA"/>
    <w:rsid w:val="004D4658"/>
    <w:rsid w:val="00561CC1"/>
    <w:rsid w:val="00562361"/>
    <w:rsid w:val="00563E2C"/>
    <w:rsid w:val="00587869"/>
    <w:rsid w:val="005D3698"/>
    <w:rsid w:val="00612913"/>
    <w:rsid w:val="00614908"/>
    <w:rsid w:val="00650109"/>
    <w:rsid w:val="00656DC9"/>
    <w:rsid w:val="006A78A0"/>
    <w:rsid w:val="006E7BAE"/>
    <w:rsid w:val="00701109"/>
    <w:rsid w:val="007372EA"/>
    <w:rsid w:val="0079129C"/>
    <w:rsid w:val="007917FE"/>
    <w:rsid w:val="007A54CC"/>
    <w:rsid w:val="007C5DE8"/>
    <w:rsid w:val="007E68C7"/>
    <w:rsid w:val="0080246E"/>
    <w:rsid w:val="00816B78"/>
    <w:rsid w:val="00824412"/>
    <w:rsid w:val="008262A3"/>
    <w:rsid w:val="00830BBE"/>
    <w:rsid w:val="0086042A"/>
    <w:rsid w:val="008763A3"/>
    <w:rsid w:val="008813BC"/>
    <w:rsid w:val="008A153F"/>
    <w:rsid w:val="008F53F3"/>
    <w:rsid w:val="009305BF"/>
    <w:rsid w:val="00951EF6"/>
    <w:rsid w:val="0096638C"/>
    <w:rsid w:val="00971154"/>
    <w:rsid w:val="00971A08"/>
    <w:rsid w:val="009903C9"/>
    <w:rsid w:val="009C669E"/>
    <w:rsid w:val="009D45DF"/>
    <w:rsid w:val="009E0F71"/>
    <w:rsid w:val="009E7A46"/>
    <w:rsid w:val="009F436C"/>
    <w:rsid w:val="00A03153"/>
    <w:rsid w:val="00A103E3"/>
    <w:rsid w:val="00A252FA"/>
    <w:rsid w:val="00A614D9"/>
    <w:rsid w:val="00AA3913"/>
    <w:rsid w:val="00AB5E22"/>
    <w:rsid w:val="00AE2077"/>
    <w:rsid w:val="00B158E3"/>
    <w:rsid w:val="00B22422"/>
    <w:rsid w:val="00B408F8"/>
    <w:rsid w:val="00B5078E"/>
    <w:rsid w:val="00B60EDC"/>
    <w:rsid w:val="00BD4E4C"/>
    <w:rsid w:val="00BF7644"/>
    <w:rsid w:val="00C1285B"/>
    <w:rsid w:val="00C2612E"/>
    <w:rsid w:val="00C737F2"/>
    <w:rsid w:val="00CE249F"/>
    <w:rsid w:val="00CF17D0"/>
    <w:rsid w:val="00D228DD"/>
    <w:rsid w:val="00D42339"/>
    <w:rsid w:val="00D61AC2"/>
    <w:rsid w:val="00D83B8C"/>
    <w:rsid w:val="00E12A51"/>
    <w:rsid w:val="00E777AD"/>
    <w:rsid w:val="00EA4B61"/>
    <w:rsid w:val="00EA6D70"/>
    <w:rsid w:val="00EE2A6C"/>
    <w:rsid w:val="00EF6754"/>
    <w:rsid w:val="00F04916"/>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704D2-017F-4735-BA29-A8B6751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193</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gl</cp:lastModifiedBy>
  <cp:revision>16</cp:revision>
  <cp:lastPrinted>2011-09-20T13:43:00Z</cp:lastPrinted>
  <dcterms:created xsi:type="dcterms:W3CDTF">2011-07-14T13:50:00Z</dcterms:created>
  <dcterms:modified xsi:type="dcterms:W3CDTF">2011-09-26T19:09:00Z</dcterms:modified>
</cp:coreProperties>
</file>