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34093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84BE8" w:rsidP="008262A3">
            <w:r>
              <w:t>July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F3B9B" w:rsidP="00F84BE8">
            <w:pPr>
              <w:rPr>
                <w:lang w:val="en-US"/>
              </w:rPr>
            </w:pPr>
            <w:r>
              <w:t xml:space="preserve">Le </w:t>
            </w:r>
            <w:r w:rsidR="00F84BE8">
              <w:t>14 juillet</w:t>
            </w:r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72C0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F3B9B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072C0B" w:rsidTr="00F47372">
        <w:tc>
          <w:tcPr>
            <w:tcW w:w="2269" w:type="pct"/>
          </w:tcPr>
          <w:p w:rsidR="00C2612E" w:rsidRDefault="00C2612E" w:rsidP="008262A3">
            <w:pPr>
              <w:rPr>
                <w:lang w:val="fr-CA"/>
              </w:rPr>
            </w:pPr>
          </w:p>
          <w:p w:rsidR="00910D66" w:rsidRPr="007F3B9B" w:rsidRDefault="00910D66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F3B9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27B57" w:rsidRDefault="007F3B9B">
            <w:pPr>
              <w:pStyle w:val="SCCLsocPrefix"/>
            </w:pPr>
            <w:r>
              <w:t>BETWEEN:</w:t>
            </w:r>
            <w:r>
              <w:br/>
            </w:r>
          </w:p>
          <w:p w:rsidR="00B27B57" w:rsidRDefault="007F3B9B">
            <w:pPr>
              <w:pStyle w:val="SCCLsocParty"/>
            </w:pPr>
            <w:r>
              <w:t>Ural Direk, Kemal Direkoglu and Elif Direkoglu by their</w:t>
            </w:r>
            <w:r w:rsidR="00A15F85">
              <w:t xml:space="preserve"> Litigation guardian Ural </w:t>
            </w:r>
            <w:proofErr w:type="spellStart"/>
            <w:r w:rsidR="00A15F85">
              <w:t>Direk</w:t>
            </w:r>
            <w:proofErr w:type="spellEnd"/>
            <w:r w:rsidR="00A15F85">
              <w:t xml:space="preserve"> and</w:t>
            </w:r>
            <w:r>
              <w:t xml:space="preserve"> </w:t>
            </w:r>
            <w:proofErr w:type="spellStart"/>
            <w:r>
              <w:t>Ertug</w:t>
            </w:r>
            <w:proofErr w:type="spellEnd"/>
            <w:r>
              <w:t xml:space="preserve"> </w:t>
            </w:r>
            <w:proofErr w:type="spellStart"/>
            <w:r>
              <w:t>Direk</w:t>
            </w:r>
            <w:proofErr w:type="spellEnd"/>
            <w:r>
              <w:br/>
            </w:r>
          </w:p>
          <w:p w:rsidR="00B27B57" w:rsidRDefault="007F3B9B">
            <w:pPr>
              <w:pStyle w:val="SCCLsocPartyRole"/>
            </w:pPr>
            <w:r>
              <w:t>Applicants</w:t>
            </w:r>
            <w:r>
              <w:br/>
            </w:r>
          </w:p>
          <w:p w:rsidR="00B27B57" w:rsidRDefault="007F3B9B">
            <w:pPr>
              <w:pStyle w:val="SCCLsocVersus"/>
            </w:pPr>
            <w:r>
              <w:t>- and -</w:t>
            </w:r>
            <w:r>
              <w:br/>
            </w:r>
          </w:p>
          <w:p w:rsidR="00B27B57" w:rsidRDefault="007F3B9B">
            <w:pPr>
              <w:pStyle w:val="SCCLsocParty"/>
            </w:pPr>
            <w:r>
              <w:t>Argiris &amp; Associates, Barristers, Solicitors</w:t>
            </w:r>
            <w:r w:rsidR="00910D66">
              <w:t xml:space="preserve"> and</w:t>
            </w:r>
            <w:r>
              <w:t xml:space="preserve"> Notaries, </w:t>
            </w:r>
            <w:proofErr w:type="spellStart"/>
            <w:r>
              <w:t>Futerman</w:t>
            </w:r>
            <w:proofErr w:type="spellEnd"/>
            <w:r>
              <w:t xml:space="preserve"> and </w:t>
            </w:r>
            <w:proofErr w:type="spellStart"/>
            <w:r>
              <w:t>Futerman</w:t>
            </w:r>
            <w:proofErr w:type="spellEnd"/>
            <w:r>
              <w:t xml:space="preserve">, Barristers and Solicitors, Martin </w:t>
            </w:r>
            <w:proofErr w:type="spellStart"/>
            <w:r>
              <w:t>Jurjans</w:t>
            </w:r>
            <w:proofErr w:type="spellEnd"/>
            <w:r>
              <w:t>,</w:t>
            </w:r>
            <w:r w:rsidR="001F2A7D">
              <w:t xml:space="preserve"> Barrister and Solicitor and</w:t>
            </w:r>
            <w:r w:rsidR="00A15F85">
              <w:t xml:space="preserve"> </w:t>
            </w:r>
            <w:proofErr w:type="spellStart"/>
            <w:r w:rsidR="00A15F85">
              <w:t>Iler</w:t>
            </w:r>
            <w:proofErr w:type="spellEnd"/>
            <w:r w:rsidR="001F2A7D">
              <w:t>,</w:t>
            </w:r>
            <w:r>
              <w:t xml:space="preserve"> Campbell, Barristers and Solicitors</w:t>
            </w:r>
            <w:r>
              <w:br/>
            </w:r>
          </w:p>
          <w:p w:rsidR="00B27B57" w:rsidRDefault="007F3B9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27B57" w:rsidRPr="007F3B9B" w:rsidRDefault="007F3B9B">
            <w:pPr>
              <w:pStyle w:val="SCCLsocPrefix"/>
              <w:rPr>
                <w:lang w:val="fr-CA"/>
              </w:rPr>
            </w:pPr>
            <w:r w:rsidRPr="007F3B9B">
              <w:rPr>
                <w:lang w:val="fr-CA"/>
              </w:rPr>
              <w:t>ENTRE :</w:t>
            </w:r>
            <w:r w:rsidRPr="007F3B9B">
              <w:rPr>
                <w:lang w:val="fr-CA"/>
              </w:rPr>
              <w:br/>
            </w:r>
          </w:p>
          <w:p w:rsidR="00B27B57" w:rsidRPr="007F3B9B" w:rsidRDefault="007F3B9B">
            <w:pPr>
              <w:pStyle w:val="SCCLsocParty"/>
              <w:rPr>
                <w:lang w:val="fr-CA"/>
              </w:rPr>
            </w:pPr>
            <w:proofErr w:type="spellStart"/>
            <w:r w:rsidRPr="007F3B9B">
              <w:rPr>
                <w:lang w:val="fr-CA"/>
              </w:rPr>
              <w:t>Ural</w:t>
            </w:r>
            <w:proofErr w:type="spellEnd"/>
            <w:r w:rsidRPr="007F3B9B">
              <w:rPr>
                <w:lang w:val="fr-CA"/>
              </w:rPr>
              <w:t xml:space="preserve"> </w:t>
            </w:r>
            <w:proofErr w:type="spellStart"/>
            <w:r w:rsidRPr="007F3B9B">
              <w:rPr>
                <w:lang w:val="fr-CA"/>
              </w:rPr>
              <w:t>Direk</w:t>
            </w:r>
            <w:proofErr w:type="spellEnd"/>
            <w:r w:rsidRPr="007F3B9B">
              <w:rPr>
                <w:lang w:val="fr-CA"/>
              </w:rPr>
              <w:t xml:space="preserve">, Kemal </w:t>
            </w:r>
            <w:proofErr w:type="spellStart"/>
            <w:r w:rsidRPr="007F3B9B">
              <w:rPr>
                <w:lang w:val="fr-CA"/>
              </w:rPr>
              <w:t>Direkoglu</w:t>
            </w:r>
            <w:proofErr w:type="spellEnd"/>
            <w:r w:rsidRPr="007F3B9B">
              <w:rPr>
                <w:lang w:val="fr-CA"/>
              </w:rPr>
              <w:t xml:space="preserve"> et </w:t>
            </w:r>
            <w:proofErr w:type="spellStart"/>
            <w:r w:rsidRPr="007F3B9B">
              <w:rPr>
                <w:lang w:val="fr-CA"/>
              </w:rPr>
              <w:t>Elif</w:t>
            </w:r>
            <w:proofErr w:type="spellEnd"/>
            <w:r w:rsidRPr="007F3B9B">
              <w:rPr>
                <w:lang w:val="fr-CA"/>
              </w:rPr>
              <w:t xml:space="preserve"> </w:t>
            </w:r>
            <w:proofErr w:type="spellStart"/>
            <w:r w:rsidRPr="007F3B9B">
              <w:rPr>
                <w:lang w:val="fr-CA"/>
              </w:rPr>
              <w:t>Direkoglu</w:t>
            </w:r>
            <w:proofErr w:type="spellEnd"/>
            <w:r w:rsidRPr="007F3B9B">
              <w:rPr>
                <w:lang w:val="fr-CA"/>
              </w:rPr>
              <w:t>, représentés par leur</w:t>
            </w:r>
            <w:r w:rsidR="00A15F85">
              <w:rPr>
                <w:lang w:val="fr-CA"/>
              </w:rPr>
              <w:t xml:space="preserve"> tuteur à l'instance </w:t>
            </w:r>
            <w:proofErr w:type="spellStart"/>
            <w:r w:rsidR="00A15F85">
              <w:rPr>
                <w:lang w:val="fr-CA"/>
              </w:rPr>
              <w:t>Ural</w:t>
            </w:r>
            <w:proofErr w:type="spellEnd"/>
            <w:r w:rsidR="00A15F85">
              <w:rPr>
                <w:lang w:val="fr-CA"/>
              </w:rPr>
              <w:t xml:space="preserve"> </w:t>
            </w:r>
            <w:proofErr w:type="spellStart"/>
            <w:r w:rsidR="00A15F85">
              <w:rPr>
                <w:lang w:val="fr-CA"/>
              </w:rPr>
              <w:t>Direk</w:t>
            </w:r>
            <w:proofErr w:type="spellEnd"/>
            <w:r w:rsidR="00A15F85">
              <w:rPr>
                <w:lang w:val="fr-CA"/>
              </w:rPr>
              <w:t xml:space="preserve"> et</w:t>
            </w:r>
            <w:r w:rsidRPr="007F3B9B">
              <w:rPr>
                <w:lang w:val="fr-CA"/>
              </w:rPr>
              <w:t xml:space="preserve"> </w:t>
            </w:r>
            <w:proofErr w:type="spellStart"/>
            <w:r w:rsidRPr="007F3B9B">
              <w:rPr>
                <w:lang w:val="fr-CA"/>
              </w:rPr>
              <w:t>Ertug</w:t>
            </w:r>
            <w:proofErr w:type="spellEnd"/>
            <w:r w:rsidRPr="007F3B9B">
              <w:rPr>
                <w:lang w:val="fr-CA"/>
              </w:rPr>
              <w:t xml:space="preserve"> </w:t>
            </w:r>
            <w:proofErr w:type="spellStart"/>
            <w:r w:rsidRPr="007F3B9B">
              <w:rPr>
                <w:lang w:val="fr-CA"/>
              </w:rPr>
              <w:t>Direk</w:t>
            </w:r>
            <w:proofErr w:type="spellEnd"/>
            <w:r w:rsidRPr="007F3B9B">
              <w:rPr>
                <w:lang w:val="fr-CA"/>
              </w:rPr>
              <w:br/>
            </w:r>
          </w:p>
          <w:p w:rsidR="00B27B57" w:rsidRPr="007F3B9B" w:rsidRDefault="007F3B9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F3B9B">
              <w:rPr>
                <w:lang w:val="fr-CA"/>
              </w:rPr>
              <w:t>s</w:t>
            </w:r>
            <w:r w:rsidRPr="007F3B9B">
              <w:rPr>
                <w:lang w:val="fr-CA"/>
              </w:rPr>
              <w:br/>
            </w:r>
          </w:p>
          <w:p w:rsidR="00B27B57" w:rsidRPr="007F3B9B" w:rsidRDefault="007F3B9B">
            <w:pPr>
              <w:pStyle w:val="SCCLsocVersus"/>
              <w:rPr>
                <w:lang w:val="fr-CA"/>
              </w:rPr>
            </w:pPr>
            <w:r w:rsidRPr="007F3B9B">
              <w:rPr>
                <w:lang w:val="fr-CA"/>
              </w:rPr>
              <w:t>- et -</w:t>
            </w:r>
            <w:r w:rsidRPr="007F3B9B">
              <w:rPr>
                <w:lang w:val="fr-CA"/>
              </w:rPr>
              <w:br/>
            </w:r>
          </w:p>
          <w:p w:rsidR="00B27B57" w:rsidRPr="007F3B9B" w:rsidRDefault="007F3B9B">
            <w:pPr>
              <w:pStyle w:val="SCCLsocParty"/>
              <w:rPr>
                <w:lang w:val="fr-CA"/>
              </w:rPr>
            </w:pPr>
            <w:proofErr w:type="spellStart"/>
            <w:r w:rsidRPr="007F3B9B">
              <w:rPr>
                <w:lang w:val="fr-CA"/>
              </w:rPr>
              <w:t>Argiris</w:t>
            </w:r>
            <w:proofErr w:type="spellEnd"/>
            <w:r w:rsidRPr="007F3B9B">
              <w:rPr>
                <w:lang w:val="fr-CA"/>
              </w:rPr>
              <w:t xml:space="preserve"> &amp; Associate</w:t>
            </w:r>
            <w:r w:rsidR="00910D66">
              <w:rPr>
                <w:lang w:val="fr-CA"/>
              </w:rPr>
              <w:t>s, avocats et</w:t>
            </w:r>
            <w:r w:rsidRPr="007F3B9B">
              <w:rPr>
                <w:lang w:val="fr-CA"/>
              </w:rPr>
              <w:t xml:space="preserve"> notaires, </w:t>
            </w:r>
            <w:proofErr w:type="spellStart"/>
            <w:r w:rsidRPr="007F3B9B">
              <w:rPr>
                <w:lang w:val="fr-CA"/>
              </w:rPr>
              <w:t>Futerman</w:t>
            </w:r>
            <w:proofErr w:type="spellEnd"/>
            <w:r w:rsidRPr="007F3B9B">
              <w:rPr>
                <w:lang w:val="fr-CA"/>
              </w:rPr>
              <w:t xml:space="preserve"> and </w:t>
            </w:r>
            <w:proofErr w:type="spellStart"/>
            <w:r w:rsidRPr="007F3B9B">
              <w:rPr>
                <w:lang w:val="fr-CA"/>
              </w:rPr>
              <w:t>Futerman</w:t>
            </w:r>
            <w:proofErr w:type="spellEnd"/>
            <w:r w:rsidRPr="007F3B9B">
              <w:rPr>
                <w:lang w:val="fr-CA"/>
              </w:rPr>
              <w:t>, avocat</w:t>
            </w:r>
            <w:r w:rsidR="001F2A7D">
              <w:rPr>
                <w:lang w:val="fr-CA"/>
              </w:rPr>
              <w:t xml:space="preserve">s, Martin </w:t>
            </w:r>
            <w:proofErr w:type="spellStart"/>
            <w:r w:rsidR="001F2A7D">
              <w:rPr>
                <w:lang w:val="fr-CA"/>
              </w:rPr>
              <w:t>Jurjans</w:t>
            </w:r>
            <w:proofErr w:type="spellEnd"/>
            <w:r w:rsidR="001F2A7D">
              <w:rPr>
                <w:lang w:val="fr-CA"/>
              </w:rPr>
              <w:t>, avocat et</w:t>
            </w:r>
            <w:r w:rsidR="00A15F85">
              <w:rPr>
                <w:lang w:val="fr-CA"/>
              </w:rPr>
              <w:t xml:space="preserve"> </w:t>
            </w:r>
            <w:proofErr w:type="spellStart"/>
            <w:r w:rsidR="00A15F85">
              <w:rPr>
                <w:lang w:val="fr-CA"/>
              </w:rPr>
              <w:t>Iler</w:t>
            </w:r>
            <w:proofErr w:type="spellEnd"/>
            <w:r w:rsidR="001F2A7D">
              <w:rPr>
                <w:lang w:val="fr-CA"/>
              </w:rPr>
              <w:t>,</w:t>
            </w:r>
            <w:r w:rsidRPr="007F3B9B">
              <w:rPr>
                <w:lang w:val="fr-CA"/>
              </w:rPr>
              <w:t xml:space="preserve"> Campbell, avocats</w:t>
            </w:r>
            <w:r w:rsidRPr="007F3B9B">
              <w:rPr>
                <w:lang w:val="fr-CA"/>
              </w:rPr>
              <w:br/>
            </w:r>
          </w:p>
          <w:p w:rsidR="007F3B9B" w:rsidRPr="00A15F85" w:rsidRDefault="007F3B9B" w:rsidP="007F3B9B">
            <w:pPr>
              <w:rPr>
                <w:lang w:val="fr-CA"/>
              </w:rPr>
            </w:pPr>
          </w:p>
          <w:p w:rsidR="00E22796" w:rsidRPr="00A15F85" w:rsidRDefault="00E22796" w:rsidP="007F3B9B">
            <w:pPr>
              <w:rPr>
                <w:lang w:val="fr-CA"/>
              </w:rPr>
            </w:pPr>
          </w:p>
          <w:p w:rsidR="007F3B9B" w:rsidRPr="007F3B9B" w:rsidRDefault="00E22796" w:rsidP="00E22796">
            <w:pPr>
              <w:jc w:val="center"/>
            </w:pPr>
            <w:proofErr w:type="spellStart"/>
            <w:r>
              <w:t>Intim</w:t>
            </w:r>
            <w:r>
              <w:rPr>
                <w:rFonts w:cs="Times New Roman"/>
              </w:rPr>
              <w:t>é</w:t>
            </w:r>
            <w:r>
              <w:t>s</w:t>
            </w:r>
            <w:proofErr w:type="spellEnd"/>
          </w:p>
        </w:tc>
      </w:tr>
    </w:tbl>
    <w:p w:rsidR="00A15F85" w:rsidRDefault="00A15F85">
      <w: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72C0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F3B9B" w:rsidP="00910D66">
            <w:pPr>
              <w:jc w:val="both"/>
            </w:pPr>
            <w:r>
              <w:t xml:space="preserve">The </w:t>
            </w:r>
            <w:r w:rsidR="00A15F85">
              <w:t xml:space="preserve">applicants’ </w:t>
            </w:r>
            <w:r>
              <w:t xml:space="preserve">motion for an extension of time to serve and file the </w:t>
            </w:r>
            <w:r w:rsidR="00910D66">
              <w:t xml:space="preserve">first </w:t>
            </w:r>
            <w:r>
              <w:t xml:space="preserve">application for leave to appeal </w:t>
            </w:r>
            <w:r w:rsidR="00A15F85">
              <w:t>is granted.  T</w:t>
            </w:r>
            <w:r>
              <w:t xml:space="preserve">he respondents’ motion </w:t>
            </w:r>
            <w:r w:rsidR="00910D66">
              <w:t xml:space="preserve">for an extension of time to serve and file a joint response is granted. </w:t>
            </w:r>
            <w:r>
              <w:t xml:space="preserve">All </w:t>
            </w:r>
            <w:r w:rsidR="00A15F85">
              <w:t>ot</w:t>
            </w:r>
            <w:r>
              <w:t xml:space="preserve">her ancillary motions are dismissed.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910D66">
              <w:t>M39027</w:t>
            </w:r>
            <w:r w:rsidR="00824412" w:rsidRPr="006E7BAE">
              <w:t xml:space="preserve">, dated </w:t>
            </w:r>
            <w:r w:rsidR="00910D66">
              <w:t>November 16, 2010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F3B9B" w:rsidP="00910D6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</w:t>
            </w:r>
            <w:r w:rsidR="00A15F85">
              <w:rPr>
                <w:lang w:val="fr-CA"/>
              </w:rPr>
              <w:t xml:space="preserve">des demandeurs </w:t>
            </w:r>
            <w:r>
              <w:rPr>
                <w:lang w:val="fr-CA"/>
              </w:rPr>
              <w:t>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</w:t>
            </w:r>
            <w:r w:rsidR="00910D66">
              <w:rPr>
                <w:lang w:val="fr-CA"/>
              </w:rPr>
              <w:t xml:space="preserve">première </w:t>
            </w:r>
            <w:r>
              <w:rPr>
                <w:lang w:val="fr-CA"/>
              </w:rPr>
              <w:t>demande d’au</w:t>
            </w:r>
            <w:r w:rsidR="00A15F85">
              <w:rPr>
                <w:lang w:val="fr-CA"/>
              </w:rPr>
              <w:t>torisation d’appel est accordée.  La requête</w:t>
            </w:r>
            <w:r>
              <w:rPr>
                <w:lang w:val="fr-CA"/>
              </w:rPr>
              <w:t xml:space="preserve"> </w:t>
            </w:r>
            <w:r w:rsidR="00A15F85">
              <w:rPr>
                <w:lang w:val="fr-CA"/>
              </w:rPr>
              <w:t>des</w:t>
            </w:r>
            <w:r>
              <w:rPr>
                <w:lang w:val="fr-CA"/>
              </w:rPr>
              <w:t xml:space="preserve"> intim</w:t>
            </w:r>
            <w:r>
              <w:rPr>
                <w:rFonts w:cs="Times New Roman"/>
                <w:lang w:val="fr-CA"/>
              </w:rPr>
              <w:t>é</w:t>
            </w:r>
            <w:r w:rsidR="00A15F85">
              <w:rPr>
                <w:lang w:val="fr-CA"/>
              </w:rPr>
              <w:t xml:space="preserve">s pour déposer </w:t>
            </w:r>
            <w:r>
              <w:rPr>
                <w:lang w:val="fr-CA"/>
              </w:rPr>
              <w:t>une r</w:t>
            </w:r>
            <w:r>
              <w:rPr>
                <w:rFonts w:cs="Times New Roman"/>
                <w:lang w:val="fr-CA"/>
              </w:rPr>
              <w:t>é</w:t>
            </w:r>
            <w:r w:rsidR="00A15F85">
              <w:rPr>
                <w:lang w:val="fr-CA"/>
              </w:rPr>
              <w:t xml:space="preserve">ponse </w:t>
            </w:r>
            <w:r w:rsidR="00910D66">
              <w:rPr>
                <w:lang w:val="fr-CA"/>
              </w:rPr>
              <w:t xml:space="preserve">conjointe </w:t>
            </w:r>
            <w:r w:rsidR="00A15F85">
              <w:rPr>
                <w:lang w:val="fr-CA"/>
              </w:rPr>
              <w:t>est</w:t>
            </w:r>
            <w:r>
              <w:rPr>
                <w:lang w:val="fr-CA"/>
              </w:rPr>
              <w:t xml:space="preserve"> accord</w:t>
            </w:r>
            <w:r>
              <w:rPr>
                <w:rFonts w:cs="Times New Roman"/>
                <w:lang w:val="fr-CA"/>
              </w:rPr>
              <w:t>é</w:t>
            </w:r>
            <w:r w:rsidR="00A15F85">
              <w:rPr>
                <w:lang w:val="fr-CA"/>
              </w:rPr>
              <w:t>e</w:t>
            </w:r>
            <w:r>
              <w:rPr>
                <w:lang w:val="fr-CA"/>
              </w:rPr>
              <w:t>.  Toutes autres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tes accessoires sont rejet</w:t>
            </w:r>
            <w:r>
              <w:rPr>
                <w:rFonts w:cs="Times New Roman"/>
                <w:lang w:val="fr-CA"/>
              </w:rPr>
              <w:t xml:space="preserve">ées.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F3B9B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910D66">
              <w:rPr>
                <w:lang w:val="fr-CA"/>
              </w:rPr>
              <w:t>M39027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910D66">
              <w:rPr>
                <w:lang w:val="fr-CA"/>
              </w:rPr>
              <w:t>16 novembre 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85" w:rsidRDefault="00A15F85">
      <w:r>
        <w:separator/>
      </w:r>
    </w:p>
  </w:endnote>
  <w:endnote w:type="continuationSeparator" w:id="0">
    <w:p w:rsidR="00A15F85" w:rsidRDefault="00A1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85" w:rsidRDefault="00A15F8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85" w:rsidRDefault="00A15F8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85" w:rsidRDefault="00A15F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85" w:rsidRDefault="00A15F85">
      <w:r>
        <w:separator/>
      </w:r>
    </w:p>
  </w:footnote>
  <w:footnote w:type="continuationSeparator" w:id="0">
    <w:p w:rsidR="00A15F85" w:rsidRDefault="00A15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85" w:rsidRDefault="00A15F8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85" w:rsidRDefault="00A15F85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77D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77D7C" w:rsidRPr="00417FB7">
      <w:rPr>
        <w:szCs w:val="24"/>
      </w:rPr>
      <w:fldChar w:fldCharType="separate"/>
    </w:r>
    <w:r w:rsidR="00072C0B">
      <w:rPr>
        <w:noProof/>
        <w:szCs w:val="24"/>
      </w:rPr>
      <w:t>2</w:t>
    </w:r>
    <w:r w:rsidR="00677D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A15F85" w:rsidRDefault="00A15F85" w:rsidP="008F53F3">
    <w:pPr>
      <w:rPr>
        <w:szCs w:val="24"/>
      </w:rPr>
    </w:pPr>
  </w:p>
  <w:p w:rsidR="00A15F85" w:rsidRDefault="00A15F85" w:rsidP="008F53F3">
    <w:pPr>
      <w:rPr>
        <w:szCs w:val="24"/>
      </w:rPr>
    </w:pPr>
  </w:p>
  <w:p w:rsidR="00A15F85" w:rsidRDefault="00A15F85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34093</w:t>
    </w:r>
    <w:r>
      <w:rPr>
        <w:szCs w:val="24"/>
      </w:rPr>
      <w:t>     </w:t>
    </w:r>
  </w:p>
  <w:p w:rsidR="00A15F85" w:rsidRDefault="00A15F85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85" w:rsidRDefault="00A15F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2C0B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F2A7D"/>
    <w:rsid w:val="00203642"/>
    <w:rsid w:val="002523DE"/>
    <w:rsid w:val="002568D3"/>
    <w:rsid w:val="0027284C"/>
    <w:rsid w:val="002758B9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76C2"/>
    <w:rsid w:val="00414694"/>
    <w:rsid w:val="00417FB7"/>
    <w:rsid w:val="0042783F"/>
    <w:rsid w:val="00432235"/>
    <w:rsid w:val="004943CF"/>
    <w:rsid w:val="004956DA"/>
    <w:rsid w:val="004D4658"/>
    <w:rsid w:val="00563E2C"/>
    <w:rsid w:val="00587869"/>
    <w:rsid w:val="00612913"/>
    <w:rsid w:val="00614908"/>
    <w:rsid w:val="00650109"/>
    <w:rsid w:val="00677D7C"/>
    <w:rsid w:val="006E7BAE"/>
    <w:rsid w:val="00701109"/>
    <w:rsid w:val="007372EA"/>
    <w:rsid w:val="0079129C"/>
    <w:rsid w:val="007917FE"/>
    <w:rsid w:val="007A54CC"/>
    <w:rsid w:val="007C5DE8"/>
    <w:rsid w:val="007E68C7"/>
    <w:rsid w:val="007F3B9B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0D66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15F85"/>
    <w:rsid w:val="00A252FA"/>
    <w:rsid w:val="00AB5E22"/>
    <w:rsid w:val="00AE2077"/>
    <w:rsid w:val="00B158E3"/>
    <w:rsid w:val="00B27B57"/>
    <w:rsid w:val="00B408F8"/>
    <w:rsid w:val="00B5078E"/>
    <w:rsid w:val="00B55683"/>
    <w:rsid w:val="00B60EDC"/>
    <w:rsid w:val="00BD4E4C"/>
    <w:rsid w:val="00BF7644"/>
    <w:rsid w:val="00C1285B"/>
    <w:rsid w:val="00C2612E"/>
    <w:rsid w:val="00CE249F"/>
    <w:rsid w:val="00CF17D0"/>
    <w:rsid w:val="00D17352"/>
    <w:rsid w:val="00D42339"/>
    <w:rsid w:val="00D61AC2"/>
    <w:rsid w:val="00D83B8C"/>
    <w:rsid w:val="00E12A51"/>
    <w:rsid w:val="00E22796"/>
    <w:rsid w:val="00E777AD"/>
    <w:rsid w:val="00E966B0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BE8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F059-A064-4EE0-BB2D-8C9E5F7B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253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9</cp:revision>
  <cp:lastPrinted>2011-07-12T20:04:00Z</cp:lastPrinted>
  <dcterms:created xsi:type="dcterms:W3CDTF">2011-06-17T15:13:00Z</dcterms:created>
  <dcterms:modified xsi:type="dcterms:W3CDTF">2011-07-19T14:12:00Z</dcterms:modified>
</cp:coreProperties>
</file>