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34134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39"/>
        <w:gridCol w:w="554"/>
        <w:gridCol w:w="4425"/>
      </w:tblGrid>
      <w:tr w:rsidR="00417FB7" w:rsidRPr="006E7BAE" w:rsidTr="00AD25D4">
        <w:tc>
          <w:tcPr>
            <w:tcW w:w="2357" w:type="pct"/>
          </w:tcPr>
          <w:p w:rsidR="00417FB7" w:rsidRPr="006E7BAE" w:rsidRDefault="004D40AD" w:rsidP="008262A3">
            <w:r>
              <w:t>August 25</w:t>
            </w:r>
            <w:r w:rsidR="00EE2A6C">
              <w:t>, 2011</w:t>
            </w:r>
          </w:p>
        </w:tc>
        <w:tc>
          <w:tcPr>
            <w:tcW w:w="294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D40AD">
            <w:pPr>
              <w:rPr>
                <w:lang w:val="en-US"/>
              </w:rPr>
            </w:pPr>
            <w:r>
              <w:t>Le 2</w:t>
            </w:r>
            <w:r w:rsidR="004D40AD">
              <w:t>5 août</w:t>
            </w:r>
            <w:r>
              <w:t xml:space="preserve"> 2011</w:t>
            </w:r>
          </w:p>
        </w:tc>
      </w:tr>
      <w:tr w:rsidR="00E12A51" w:rsidRPr="006E7BAE" w:rsidTr="00AD25D4">
        <w:tc>
          <w:tcPr>
            <w:tcW w:w="2357" w:type="pct"/>
          </w:tcPr>
          <w:p w:rsidR="00C2612E" w:rsidRPr="006E7BAE" w:rsidRDefault="00C2612E" w:rsidP="008262A3"/>
        </w:tc>
        <w:tc>
          <w:tcPr>
            <w:tcW w:w="294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2FEC" w:rsidTr="00AD25D4">
        <w:tc>
          <w:tcPr>
            <w:tcW w:w="2357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294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D40AD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F02FEC" w:rsidTr="00AD25D4">
        <w:tc>
          <w:tcPr>
            <w:tcW w:w="2357" w:type="pct"/>
          </w:tcPr>
          <w:p w:rsidR="00C2612E" w:rsidRPr="004D40AD" w:rsidRDefault="00C2612E" w:rsidP="008262A3">
            <w:pPr>
              <w:rPr>
                <w:lang w:val="fr-CA"/>
              </w:rPr>
            </w:pPr>
          </w:p>
          <w:p w:rsidR="00C2612E" w:rsidRPr="004D40AD" w:rsidRDefault="00C2612E" w:rsidP="008262A3">
            <w:pPr>
              <w:rPr>
                <w:lang w:val="fr-CA"/>
              </w:rPr>
            </w:pPr>
          </w:p>
        </w:tc>
        <w:tc>
          <w:tcPr>
            <w:tcW w:w="294" w:type="pct"/>
          </w:tcPr>
          <w:p w:rsidR="00C2612E" w:rsidRPr="004D40A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02FEC" w:rsidTr="00AD25D4">
        <w:tc>
          <w:tcPr>
            <w:tcW w:w="2357" w:type="pct"/>
            <w:vAlign w:val="center"/>
          </w:tcPr>
          <w:p w:rsidR="007F2F41" w:rsidRDefault="004D40AD">
            <w:pPr>
              <w:pStyle w:val="SCCLsocPrefix"/>
            </w:pPr>
            <w:r>
              <w:t>BETWEEN:</w:t>
            </w:r>
            <w:r>
              <w:br/>
            </w:r>
          </w:p>
          <w:p w:rsidR="007F2F41" w:rsidRDefault="004D40AD">
            <w:pPr>
              <w:pStyle w:val="SCCLsocParty"/>
            </w:pPr>
            <w:r>
              <w:t>Brook Makara</w:t>
            </w:r>
            <w:r>
              <w:br/>
            </w:r>
          </w:p>
          <w:p w:rsidR="007F2F41" w:rsidRDefault="004D40AD">
            <w:pPr>
              <w:pStyle w:val="SCCLsocPartyRole"/>
            </w:pPr>
            <w:r>
              <w:t>Applicant</w:t>
            </w:r>
            <w:r>
              <w:br/>
            </w:r>
          </w:p>
          <w:p w:rsidR="007F2F41" w:rsidRDefault="004D40AD">
            <w:pPr>
              <w:pStyle w:val="SCCLsocVersus"/>
            </w:pPr>
            <w:r>
              <w:t>- and -</w:t>
            </w:r>
            <w:r>
              <w:br/>
            </w:r>
          </w:p>
          <w:p w:rsidR="007F2F41" w:rsidRDefault="004D40AD">
            <w:pPr>
              <w:pStyle w:val="SCCLsocParty"/>
            </w:pPr>
            <w:r>
              <w:t>Her Majesty the Queen</w:t>
            </w:r>
            <w:r>
              <w:br/>
            </w:r>
          </w:p>
          <w:p w:rsidR="007F2F41" w:rsidRDefault="004D40AD">
            <w:pPr>
              <w:pStyle w:val="SCCLsocPartyRole"/>
            </w:pPr>
            <w:r>
              <w:t>Respondent</w:t>
            </w:r>
          </w:p>
        </w:tc>
        <w:tc>
          <w:tcPr>
            <w:tcW w:w="294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F2F41" w:rsidRPr="004D40AD" w:rsidRDefault="004D40AD">
            <w:pPr>
              <w:pStyle w:val="SCCLsocPrefix"/>
              <w:rPr>
                <w:lang w:val="fr-CA"/>
              </w:rPr>
            </w:pPr>
            <w:r w:rsidRPr="004D40AD">
              <w:rPr>
                <w:lang w:val="fr-CA"/>
              </w:rPr>
              <w:t>ENTRE :</w:t>
            </w:r>
            <w:r w:rsidRPr="004D40AD">
              <w:rPr>
                <w:lang w:val="fr-CA"/>
              </w:rPr>
              <w:br/>
            </w:r>
          </w:p>
          <w:p w:rsidR="007F2F41" w:rsidRPr="004D40AD" w:rsidRDefault="004D40AD">
            <w:pPr>
              <w:pStyle w:val="SCCLsocParty"/>
              <w:rPr>
                <w:lang w:val="fr-CA"/>
              </w:rPr>
            </w:pPr>
            <w:r w:rsidRPr="004D40AD">
              <w:rPr>
                <w:lang w:val="fr-CA"/>
              </w:rPr>
              <w:t>Brook Makara</w:t>
            </w:r>
            <w:r w:rsidRPr="004D40AD">
              <w:rPr>
                <w:lang w:val="fr-CA"/>
              </w:rPr>
              <w:br/>
            </w:r>
          </w:p>
          <w:p w:rsidR="007F2F41" w:rsidRPr="004D40AD" w:rsidRDefault="00AD25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4D40AD" w:rsidRPr="004D40AD">
              <w:rPr>
                <w:lang w:val="fr-CA"/>
              </w:rPr>
              <w:br/>
            </w:r>
          </w:p>
          <w:p w:rsidR="007F2F41" w:rsidRPr="004D40AD" w:rsidRDefault="004D40AD">
            <w:pPr>
              <w:pStyle w:val="SCCLsocVersus"/>
              <w:rPr>
                <w:lang w:val="fr-CA"/>
              </w:rPr>
            </w:pPr>
            <w:r w:rsidRPr="004D40AD">
              <w:rPr>
                <w:lang w:val="fr-CA"/>
              </w:rPr>
              <w:t>- et -</w:t>
            </w:r>
            <w:r w:rsidRPr="004D40AD">
              <w:rPr>
                <w:lang w:val="fr-CA"/>
              </w:rPr>
              <w:br/>
            </w:r>
          </w:p>
          <w:p w:rsidR="007F2F41" w:rsidRPr="004D40AD" w:rsidRDefault="004D40AD">
            <w:pPr>
              <w:pStyle w:val="SCCLsocParty"/>
              <w:rPr>
                <w:lang w:val="fr-CA"/>
              </w:rPr>
            </w:pPr>
            <w:r w:rsidRPr="004D40AD">
              <w:rPr>
                <w:lang w:val="fr-CA"/>
              </w:rPr>
              <w:t>Sa Majesté la Reine</w:t>
            </w:r>
            <w:r w:rsidRPr="004D40AD">
              <w:rPr>
                <w:lang w:val="fr-CA"/>
              </w:rPr>
              <w:br/>
            </w:r>
          </w:p>
          <w:p w:rsidR="007F2F41" w:rsidRPr="00AD25D4" w:rsidRDefault="00AD25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4D40AD" w:rsidRPr="00AD25D4">
              <w:rPr>
                <w:lang w:val="fr-CA"/>
              </w:rPr>
              <w:t>e</w:t>
            </w:r>
          </w:p>
        </w:tc>
      </w:tr>
      <w:tr w:rsidR="00824412" w:rsidRPr="00F02FEC" w:rsidTr="00AD25D4">
        <w:tc>
          <w:tcPr>
            <w:tcW w:w="2357" w:type="pct"/>
            <w:vAlign w:val="center"/>
          </w:tcPr>
          <w:p w:rsidR="00824412" w:rsidRPr="00AD25D4" w:rsidRDefault="00824412" w:rsidP="00375294">
            <w:pPr>
              <w:rPr>
                <w:lang w:val="fr-CA"/>
              </w:rPr>
            </w:pPr>
          </w:p>
          <w:p w:rsidR="00824412" w:rsidRPr="00AD25D4" w:rsidRDefault="00824412" w:rsidP="00375294">
            <w:pPr>
              <w:rPr>
                <w:lang w:val="fr-CA"/>
              </w:rPr>
            </w:pPr>
          </w:p>
        </w:tc>
        <w:tc>
          <w:tcPr>
            <w:tcW w:w="294" w:type="pct"/>
            <w:vAlign w:val="center"/>
          </w:tcPr>
          <w:p w:rsidR="00824412" w:rsidRPr="00AD25D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D25D4" w:rsidRDefault="00824412" w:rsidP="00B408F8">
            <w:pPr>
              <w:rPr>
                <w:lang w:val="fr-CA"/>
              </w:rPr>
            </w:pPr>
          </w:p>
        </w:tc>
      </w:tr>
      <w:tr w:rsidR="00824412" w:rsidRPr="00F02FEC" w:rsidTr="00AD25D4">
        <w:tc>
          <w:tcPr>
            <w:tcW w:w="2357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42881" w:rsidP="00DF607C">
            <w:pPr>
              <w:jc w:val="both"/>
            </w:pPr>
            <w:r>
              <w:t xml:space="preserve">The motion </w:t>
            </w:r>
            <w:r w:rsidR="00DF607C">
              <w:t xml:space="preserve">to have </w:t>
            </w:r>
            <w:r w:rsidR="0096790E">
              <w:t xml:space="preserve">the </w:t>
            </w:r>
            <w:r w:rsidR="0085347F">
              <w:t xml:space="preserve">application </w:t>
            </w:r>
            <w:r w:rsidR="0096790E">
              <w:t xml:space="preserve">for leave to appeal held in abeyance </w:t>
            </w:r>
            <w:r>
              <w:t xml:space="preserve">is dismissed. </w:t>
            </w:r>
            <w:r w:rsidR="00AD25D4"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>, Number</w:t>
            </w:r>
            <w:r w:rsidR="00AD25D4">
              <w:t>s</w:t>
            </w:r>
            <w:r w:rsidR="00824412" w:rsidRPr="006E7BAE">
              <w:t xml:space="preserve"> </w:t>
            </w:r>
            <w:r w:rsidR="00AD25D4">
              <w:t>500-10-004200-083 and 500-10-004484-</w:t>
            </w:r>
            <w:r w:rsidR="00824412">
              <w:t>091</w:t>
            </w:r>
            <w:r w:rsidR="00824412" w:rsidRPr="006E7BAE">
              <w:t>,</w:t>
            </w:r>
            <w:r w:rsidR="00AD25D4">
              <w:t xml:space="preserve"> 2010 QCCA 2064, </w:t>
            </w:r>
            <w:r w:rsidR="00824412" w:rsidRPr="006E7BAE">
              <w:t xml:space="preserve">dated </w:t>
            </w:r>
            <w:r w:rsidR="00AD25D4">
              <w:t>November 12, 2</w:t>
            </w:r>
            <w:r w:rsidR="00824412">
              <w:t>010</w:t>
            </w:r>
            <w:r w:rsidR="00AD25D4">
              <w:t>, is dismissed without costs</w:t>
            </w:r>
            <w:r w:rsidR="00824412" w:rsidRPr="006E7BAE">
              <w:t>.</w:t>
            </w:r>
          </w:p>
        </w:tc>
        <w:tc>
          <w:tcPr>
            <w:tcW w:w="294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42881" w:rsidP="0096790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96790E">
              <w:rPr>
                <w:lang w:val="fr-CA"/>
              </w:rPr>
              <w:t xml:space="preserve">pour obtenir la suspension de </w:t>
            </w:r>
            <w:r w:rsidR="0085347F">
              <w:rPr>
                <w:lang w:val="fr-CA"/>
              </w:rPr>
              <w:t xml:space="preserve">la demande d’autorisation d’appel est rejetée.  </w:t>
            </w:r>
            <w:r w:rsidR="00AD25D4"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D40AD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>, numéro</w:t>
            </w:r>
            <w:r w:rsidR="00AD25D4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D40AD">
              <w:rPr>
                <w:lang w:val="fr-CA"/>
              </w:rPr>
              <w:t>500-10-004200-083</w:t>
            </w:r>
            <w:r w:rsidR="00AD25D4">
              <w:rPr>
                <w:lang w:val="fr-CA"/>
              </w:rPr>
              <w:t xml:space="preserve"> et 500-10-004484-</w:t>
            </w:r>
            <w:r w:rsidR="00824412" w:rsidRPr="004D40AD">
              <w:rPr>
                <w:lang w:val="fr-CA"/>
              </w:rPr>
              <w:t>091</w:t>
            </w:r>
            <w:r w:rsidR="00824412" w:rsidRPr="006E7BAE">
              <w:rPr>
                <w:lang w:val="fr-CA"/>
              </w:rPr>
              <w:t>,</w:t>
            </w:r>
            <w:r w:rsidR="00AD25D4" w:rsidRPr="004D40AD">
              <w:rPr>
                <w:lang w:val="fr-CA"/>
              </w:rPr>
              <w:t xml:space="preserve"> 2010 QCCA 2064, 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D40AD">
              <w:rPr>
                <w:lang w:val="fr-CA"/>
              </w:rPr>
              <w:t>12 novembre 2010</w:t>
            </w:r>
            <w:r w:rsidR="00824412" w:rsidRPr="006E7BAE">
              <w:rPr>
                <w:lang w:val="fr-CA"/>
              </w:rPr>
              <w:t xml:space="preserve">, est </w:t>
            </w:r>
            <w:r w:rsidR="00AD25D4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AD25D4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AD25D4" w:rsidRPr="00D83B8C">
        <w:rPr>
          <w:lang w:val="fr-CA"/>
        </w:rPr>
        <w:t xml:space="preserve"> </w:t>
      </w:r>
    </w:p>
    <w:sectPr w:rsidR="003A37CF" w:rsidRPr="00D83B8C" w:rsidSect="0085347F">
      <w:headerReference w:type="default" r:id="rId8"/>
      <w:pgSz w:w="12240" w:h="15840"/>
      <w:pgMar w:top="1440" w:right="1440" w:bottom="360" w:left="1440" w:header="144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F62C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F62CD" w:rsidRPr="00417FB7">
      <w:rPr>
        <w:szCs w:val="24"/>
      </w:rPr>
      <w:fldChar w:fldCharType="separate"/>
    </w:r>
    <w:r w:rsidR="002958BC">
      <w:rPr>
        <w:noProof/>
        <w:szCs w:val="24"/>
      </w:rPr>
      <w:t>2</w:t>
    </w:r>
    <w:r w:rsidR="007F62C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34134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2881"/>
    <w:rsid w:val="002523DE"/>
    <w:rsid w:val="002568D3"/>
    <w:rsid w:val="0027284C"/>
    <w:rsid w:val="002958B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19E0"/>
    <w:rsid w:val="004943CF"/>
    <w:rsid w:val="004956DA"/>
    <w:rsid w:val="004D40AD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2F41"/>
    <w:rsid w:val="007F62CD"/>
    <w:rsid w:val="00816B78"/>
    <w:rsid w:val="00824412"/>
    <w:rsid w:val="008262A3"/>
    <w:rsid w:val="00830BBE"/>
    <w:rsid w:val="0085347F"/>
    <w:rsid w:val="0086042A"/>
    <w:rsid w:val="008763A3"/>
    <w:rsid w:val="008813BC"/>
    <w:rsid w:val="008A153F"/>
    <w:rsid w:val="008F53F3"/>
    <w:rsid w:val="009305BF"/>
    <w:rsid w:val="00951EF6"/>
    <w:rsid w:val="0096638C"/>
    <w:rsid w:val="0096790E"/>
    <w:rsid w:val="00971A08"/>
    <w:rsid w:val="009D45DF"/>
    <w:rsid w:val="009E0F71"/>
    <w:rsid w:val="009E7A46"/>
    <w:rsid w:val="009F436C"/>
    <w:rsid w:val="00A03153"/>
    <w:rsid w:val="00A103E3"/>
    <w:rsid w:val="00A1738E"/>
    <w:rsid w:val="00A252FA"/>
    <w:rsid w:val="00AB5E22"/>
    <w:rsid w:val="00AD25D4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B174B"/>
    <w:rsid w:val="00CE249F"/>
    <w:rsid w:val="00CF17D0"/>
    <w:rsid w:val="00D42339"/>
    <w:rsid w:val="00D46850"/>
    <w:rsid w:val="00D61AC2"/>
    <w:rsid w:val="00D83B8C"/>
    <w:rsid w:val="00D93C07"/>
    <w:rsid w:val="00DF607C"/>
    <w:rsid w:val="00E12A51"/>
    <w:rsid w:val="00E777AD"/>
    <w:rsid w:val="00EA4B61"/>
    <w:rsid w:val="00EE2A6C"/>
    <w:rsid w:val="00EF6754"/>
    <w:rsid w:val="00F02FEC"/>
    <w:rsid w:val="00F06BF6"/>
    <w:rsid w:val="00F1759D"/>
    <w:rsid w:val="00F20569"/>
    <w:rsid w:val="00F265CF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AA68-EC10-482A-81F9-17255EE5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10</cp:revision>
  <cp:lastPrinted>2011-08-24T16:32:00Z</cp:lastPrinted>
  <dcterms:created xsi:type="dcterms:W3CDTF">2011-07-26T19:55:00Z</dcterms:created>
  <dcterms:modified xsi:type="dcterms:W3CDTF">2011-08-29T12:44:00Z</dcterms:modified>
</cp:coreProperties>
</file>