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34439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719EC" w:rsidP="008262A3">
            <w:r>
              <w:t>February 23</w:t>
            </w:r>
            <w:r w:rsidR="00EE2A6C">
              <w:t>, 2012</w:t>
            </w:r>
          </w:p>
        </w:tc>
        <w:tc>
          <w:tcPr>
            <w:tcW w:w="381" w:type="pct"/>
          </w:tcPr>
          <w:p w:rsidR="00417FB7" w:rsidRPr="006E7BAE" w:rsidRDefault="00417FB7" w:rsidP="00382FEC"/>
        </w:tc>
        <w:tc>
          <w:tcPr>
            <w:tcW w:w="2350" w:type="pct"/>
          </w:tcPr>
          <w:p w:rsidR="00417FB7" w:rsidRPr="00D83B8C" w:rsidRDefault="006719EC" w:rsidP="00816B78">
            <w:pPr>
              <w:rPr>
                <w:lang w:val="en-US"/>
              </w:rPr>
            </w:pPr>
            <w:r>
              <w:t>Le 23</w:t>
            </w:r>
            <w:r w:rsidR="00EE2A6C">
              <w:t xml:space="preserve"> février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467455"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719EC">
              <w:rPr>
                <w:lang w:val="fr-CA"/>
              </w:rPr>
              <w:t>La juge en chef McLachlin et les juges Rothstein et Moldaver</w:t>
            </w:r>
          </w:p>
        </w:tc>
      </w:tr>
      <w:tr w:rsidR="008B2AE6" w:rsidRPr="00467455" w:rsidTr="00F47372">
        <w:tc>
          <w:tcPr>
            <w:tcW w:w="2269" w:type="pct"/>
          </w:tcPr>
          <w:p w:rsidR="008B2AE6" w:rsidRDefault="008B2AE6" w:rsidP="008262A3">
            <w:pPr>
              <w:rPr>
                <w:lang w:val="fr-CA"/>
              </w:rPr>
            </w:pPr>
          </w:p>
          <w:p w:rsidR="008B2AE6" w:rsidRDefault="008B2AE6" w:rsidP="008262A3">
            <w:pPr>
              <w:rPr>
                <w:lang w:val="fr-CA"/>
              </w:rPr>
            </w:pPr>
          </w:p>
        </w:tc>
        <w:tc>
          <w:tcPr>
            <w:tcW w:w="381" w:type="pct"/>
          </w:tcPr>
          <w:p w:rsidR="008B2AE6" w:rsidRPr="006719EC" w:rsidRDefault="008B2AE6" w:rsidP="00382FEC">
            <w:pPr>
              <w:rPr>
                <w:lang w:val="fr-CA"/>
              </w:rPr>
            </w:pPr>
          </w:p>
        </w:tc>
        <w:tc>
          <w:tcPr>
            <w:tcW w:w="2350" w:type="pct"/>
          </w:tcPr>
          <w:p w:rsidR="008B2AE6" w:rsidRPr="006E7BAE" w:rsidRDefault="008B2AE6" w:rsidP="00382FEC">
            <w:pPr>
              <w:rPr>
                <w:lang w:val="fr-CA"/>
              </w:rPr>
            </w:pPr>
          </w:p>
        </w:tc>
      </w:tr>
      <w:tr w:rsidR="00C2612E" w:rsidRPr="008B2AE6" w:rsidTr="00F47372">
        <w:tc>
          <w:tcPr>
            <w:tcW w:w="2269" w:type="pct"/>
          </w:tcPr>
          <w:p w:rsidR="008B2AE6" w:rsidRDefault="008B2AE6" w:rsidP="008B2AE6">
            <w:pPr>
              <w:pStyle w:val="SCCLsocPrefix"/>
            </w:pPr>
            <w:r>
              <w:t>BETWEEN:</w:t>
            </w:r>
            <w:r>
              <w:br/>
            </w:r>
          </w:p>
          <w:p w:rsidR="008B2AE6" w:rsidRDefault="008B2AE6" w:rsidP="008B2AE6">
            <w:pPr>
              <w:pStyle w:val="SCCLsocParty"/>
            </w:pPr>
            <w:r>
              <w:t>Jeffrey Lipsitz, Sleep Disorders Centre of Metropolitan Toronto Inc., Sleep Disorders Centre - Ottawa Inc. and Sleep Clinic Network of Ontario Inc.</w:t>
            </w:r>
            <w:r>
              <w:br/>
            </w:r>
          </w:p>
          <w:p w:rsidR="008B2AE6" w:rsidRDefault="008B2AE6" w:rsidP="008B2AE6">
            <w:pPr>
              <w:pStyle w:val="SCCLsocPartyRole"/>
            </w:pPr>
            <w:r>
              <w:t>Applicants</w:t>
            </w:r>
            <w:r>
              <w:br/>
            </w:r>
          </w:p>
          <w:p w:rsidR="008B2AE6" w:rsidRDefault="008B2AE6" w:rsidP="008B2AE6">
            <w:pPr>
              <w:pStyle w:val="SCCLsocVersus"/>
            </w:pPr>
            <w:r>
              <w:t>- and -</w:t>
            </w:r>
            <w:r>
              <w:br/>
            </w:r>
          </w:p>
          <w:p w:rsidR="008B2AE6" w:rsidRDefault="008B2AE6" w:rsidP="008B2AE6">
            <w:pPr>
              <w:pStyle w:val="SCCLsocParty"/>
            </w:pPr>
            <w:r>
              <w:t>College of Physicians and Surgeons of Ontario, John Fleetham, Caroline Kemp, Daniel Klass, Michael Fitzpatrick, Sandra Halko, Rocco Gerace, Mohamed R. Goolam Hussain, Lori Davis</w:t>
            </w:r>
            <w:r w:rsidR="004B7F3A">
              <w:t>,</w:t>
            </w:r>
            <w:r>
              <w:t xml:space="preserve"> Tracey Marshall, Her Majesty the Queen in Right of</w:t>
            </w:r>
            <w:r w:rsidR="004B7F3A">
              <w:t xml:space="preserve"> the Province of</w:t>
            </w:r>
            <w:r>
              <w:t xml:space="preserve"> Ontario, Karen Stanley, Marsha Barnes, Jeff Morgenste</w:t>
            </w:r>
            <w:r w:rsidR="004B7F3A">
              <w:t>r</w:t>
            </w:r>
            <w:r>
              <w:t>n and Bruce Kirton</w:t>
            </w:r>
            <w:r>
              <w:br/>
            </w:r>
          </w:p>
          <w:p w:rsidR="00DF404F" w:rsidRDefault="00DF404F" w:rsidP="008B2AE6">
            <w:pPr>
              <w:jc w:val="center"/>
            </w:pPr>
          </w:p>
          <w:p w:rsidR="00DF404F" w:rsidRDefault="00DF404F" w:rsidP="008B2AE6">
            <w:pPr>
              <w:jc w:val="center"/>
            </w:pPr>
          </w:p>
          <w:p w:rsidR="00C2612E" w:rsidRDefault="008B2AE6" w:rsidP="008B2AE6">
            <w:pPr>
              <w:jc w:val="center"/>
              <w:rPr>
                <w:lang w:val="fr-CA"/>
              </w:rPr>
            </w:pPr>
            <w:r>
              <w:t>Respondents</w:t>
            </w:r>
          </w:p>
          <w:p w:rsidR="006719EC" w:rsidRPr="006719EC" w:rsidRDefault="006719EC" w:rsidP="008262A3">
            <w:pPr>
              <w:rPr>
                <w:lang w:val="fr-CA"/>
              </w:rPr>
            </w:pPr>
          </w:p>
        </w:tc>
        <w:tc>
          <w:tcPr>
            <w:tcW w:w="381" w:type="pct"/>
          </w:tcPr>
          <w:p w:rsidR="00C2612E" w:rsidRPr="006719EC" w:rsidRDefault="00C2612E" w:rsidP="00382FEC">
            <w:pPr>
              <w:rPr>
                <w:lang w:val="fr-CA"/>
              </w:rPr>
            </w:pPr>
          </w:p>
        </w:tc>
        <w:tc>
          <w:tcPr>
            <w:tcW w:w="2350" w:type="pct"/>
          </w:tcPr>
          <w:p w:rsidR="008B2AE6" w:rsidRDefault="008B2AE6" w:rsidP="008B2AE6">
            <w:pPr>
              <w:pStyle w:val="SCCLsocPrefix"/>
            </w:pPr>
            <w:r>
              <w:t>ENTRE :</w:t>
            </w:r>
            <w:r>
              <w:br/>
            </w:r>
          </w:p>
          <w:p w:rsidR="008B2AE6" w:rsidRDefault="008B2AE6" w:rsidP="008B2AE6">
            <w:pPr>
              <w:pStyle w:val="SCCLsocParty"/>
            </w:pPr>
            <w:r>
              <w:t>Jeffrey Lipsitz, Sleep Disorders Centre of Metropolitan Toronto Inc., Sleep Disorders Centre - Ottawa Inc. et Sleep Clinic Network of Ontario Inc.</w:t>
            </w:r>
            <w:r>
              <w:br/>
            </w:r>
          </w:p>
          <w:p w:rsidR="008B2AE6" w:rsidRDefault="008B2AE6" w:rsidP="008B2AE6">
            <w:pPr>
              <w:pStyle w:val="SCCLsocPartyRole"/>
            </w:pPr>
            <w:r>
              <w:t>Demandeurs</w:t>
            </w:r>
            <w:r>
              <w:br/>
            </w:r>
          </w:p>
          <w:p w:rsidR="008B2AE6" w:rsidRDefault="008B2AE6" w:rsidP="008B2AE6">
            <w:pPr>
              <w:pStyle w:val="SCCLsocVersus"/>
            </w:pPr>
            <w:r>
              <w:t>- et -</w:t>
            </w:r>
            <w:r>
              <w:br/>
            </w:r>
          </w:p>
          <w:p w:rsidR="008B2AE6" w:rsidRDefault="008B2AE6" w:rsidP="008B2AE6">
            <w:pPr>
              <w:pStyle w:val="SCCLsocParty"/>
            </w:pPr>
            <w:r>
              <w:t>College of Physicians and Surgeons of Ontario, John Fleetham, Caroline Kemp, Daniel Klass, Michael Fitzpatrick, Sandra Halko, Rocco Gerace, Mohamed R. Goolam Hussain, Lori Davis, Tracey Marshall, Her Majesty the Queen in Right of</w:t>
            </w:r>
            <w:r w:rsidR="004B7F3A">
              <w:t xml:space="preserve"> the Province of Ontario, Karen Stanley, Marsha Barnes, Jeff Morgenster</w:t>
            </w:r>
            <w:r>
              <w:t>n</w:t>
            </w:r>
            <w:r w:rsidR="004B7F3A">
              <w:t xml:space="preserve"> et Bruce Kirton</w:t>
            </w:r>
            <w:r>
              <w:br/>
            </w:r>
          </w:p>
          <w:p w:rsidR="00DF404F" w:rsidRDefault="00DF404F" w:rsidP="008B2AE6">
            <w:pPr>
              <w:jc w:val="center"/>
            </w:pPr>
          </w:p>
          <w:p w:rsidR="00DF404F" w:rsidRDefault="00DF404F" w:rsidP="008B2AE6">
            <w:pPr>
              <w:jc w:val="center"/>
            </w:pPr>
          </w:p>
          <w:p w:rsidR="00C2612E" w:rsidRPr="006E7BAE" w:rsidRDefault="008B2AE6" w:rsidP="008B2AE6">
            <w:pPr>
              <w:jc w:val="center"/>
              <w:rPr>
                <w:lang w:val="fr-CA"/>
              </w:rPr>
            </w:pPr>
            <w:r>
              <w:t>Intimés</w:t>
            </w:r>
          </w:p>
        </w:tc>
      </w:tr>
      <w:tr w:rsidR="00824412" w:rsidRPr="006E7BAE" w:rsidTr="00F47372">
        <w:tc>
          <w:tcPr>
            <w:tcW w:w="2269" w:type="pct"/>
            <w:vAlign w:val="center"/>
          </w:tcPr>
          <w:p w:rsidR="00A626A7" w:rsidRDefault="00A626A7">
            <w:pPr>
              <w:pStyle w:val="SCCLsocPartyRole"/>
            </w:pPr>
          </w:p>
        </w:tc>
        <w:tc>
          <w:tcPr>
            <w:tcW w:w="381" w:type="pct"/>
            <w:vAlign w:val="center"/>
          </w:tcPr>
          <w:p w:rsidR="00824412" w:rsidRPr="006E7BAE" w:rsidRDefault="00824412" w:rsidP="00375294"/>
        </w:tc>
        <w:tc>
          <w:tcPr>
            <w:tcW w:w="2350" w:type="pct"/>
            <w:vAlign w:val="center"/>
          </w:tcPr>
          <w:p w:rsidR="00A626A7" w:rsidRDefault="00A626A7">
            <w:pPr>
              <w:pStyle w:val="SCCLsocPartyRole"/>
            </w:pPr>
          </w:p>
        </w:tc>
      </w:tr>
      <w:tr w:rsidR="00824412" w:rsidRPr="006E7BAE" w:rsidTr="00F47372">
        <w:tc>
          <w:tcPr>
            <w:tcW w:w="2269" w:type="pct"/>
            <w:vAlign w:val="center"/>
          </w:tcPr>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467455"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6719EC">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Number</w:t>
            </w:r>
            <w:r w:rsidR="008B2AE6">
              <w:t xml:space="preserve">s C51330 and </w:t>
            </w:r>
            <w:r w:rsidR="006719EC">
              <w:t>C51287</w:t>
            </w:r>
            <w:r w:rsidR="006719EC" w:rsidRPr="006E7BAE">
              <w:t xml:space="preserve">, </w:t>
            </w:r>
            <w:r w:rsidRPr="006E7BAE">
              <w:t xml:space="preserve"> </w:t>
            </w:r>
            <w:r>
              <w:t xml:space="preserve">2011 ONCA 466, </w:t>
            </w:r>
            <w:r w:rsidRPr="006E7BAE">
              <w:t xml:space="preserve">dated </w:t>
            </w:r>
            <w:r>
              <w:t>June 22, 2011</w:t>
            </w:r>
            <w:r w:rsidR="006719EC">
              <w:t>, is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8B2AE6">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6719EC">
              <w:rPr>
                <w:lang w:val="fr-CA"/>
              </w:rPr>
              <w:t>Cour d’appel de l’Ontario</w:t>
            </w:r>
            <w:r w:rsidRPr="006E7BAE">
              <w:rPr>
                <w:lang w:val="fr-CA"/>
              </w:rPr>
              <w:t>, numéro</w:t>
            </w:r>
            <w:r w:rsidR="008B2AE6">
              <w:rPr>
                <w:lang w:val="fr-CA"/>
              </w:rPr>
              <w:t>s</w:t>
            </w:r>
            <w:r w:rsidRPr="006E7BAE">
              <w:rPr>
                <w:lang w:val="fr-CA"/>
              </w:rPr>
              <w:t xml:space="preserve"> </w:t>
            </w:r>
            <w:r w:rsidR="008B2AE6">
              <w:rPr>
                <w:lang w:val="fr-CA"/>
              </w:rPr>
              <w:t xml:space="preserve">C51330 et </w:t>
            </w:r>
            <w:r w:rsidR="008B2AE6" w:rsidRPr="006719EC">
              <w:rPr>
                <w:lang w:val="fr-CA"/>
              </w:rPr>
              <w:t>C51287</w:t>
            </w:r>
            <w:r w:rsidR="008B2AE6" w:rsidRPr="006E7BAE">
              <w:rPr>
                <w:lang w:val="fr-CA"/>
              </w:rPr>
              <w:t xml:space="preserve">, </w:t>
            </w:r>
            <w:r w:rsidRPr="006719EC">
              <w:rPr>
                <w:lang w:val="fr-CA"/>
              </w:rPr>
              <w:t xml:space="preserve">2011 ONCA 466, </w:t>
            </w:r>
            <w:r w:rsidR="00011960" w:rsidRPr="006E7BAE">
              <w:rPr>
                <w:lang w:val="fr-CA"/>
              </w:rPr>
              <w:t>daté du</w:t>
            </w:r>
            <w:r w:rsidRPr="006E7BAE">
              <w:rPr>
                <w:lang w:val="fr-CA"/>
              </w:rPr>
              <w:t xml:space="preserve"> </w:t>
            </w:r>
            <w:r w:rsidRPr="006719EC">
              <w:rPr>
                <w:lang w:val="fr-CA"/>
              </w:rPr>
              <w:t>22 juin 2011</w:t>
            </w:r>
            <w:r w:rsidRPr="006E7BAE">
              <w:rPr>
                <w:lang w:val="fr-CA"/>
              </w:rPr>
              <w:t>, est</w:t>
            </w:r>
            <w:r w:rsidR="006719EC">
              <w:rPr>
                <w:lang w:val="fr-CA"/>
              </w:rPr>
              <w:t xml:space="preserve"> rejetée avec dépens</w:t>
            </w:r>
            <w:r w:rsidRPr="006E7BAE">
              <w:rPr>
                <w:lang w:val="fr-CA"/>
              </w:rPr>
              <w:t>.</w:t>
            </w:r>
            <w:r w:rsidR="00011960" w:rsidRPr="006E7BAE">
              <w:rPr>
                <w:lang w:val="fr-CA"/>
              </w:rPr>
              <w:t xml:space="preserve"> </w:t>
            </w:r>
          </w:p>
        </w:tc>
      </w:tr>
    </w:tbl>
    <w:p w:rsidR="009F436C" w:rsidRDefault="009F436C" w:rsidP="00417FB7">
      <w:pPr>
        <w:jc w:val="center"/>
        <w:rPr>
          <w:lang w:val="fr-CA"/>
        </w:rPr>
      </w:pPr>
    </w:p>
    <w:p w:rsidR="008B2AE6" w:rsidRDefault="008B2AE6" w:rsidP="00417FB7">
      <w:pPr>
        <w:jc w:val="center"/>
        <w:rPr>
          <w:lang w:val="fr-CA"/>
        </w:rPr>
      </w:pPr>
    </w:p>
    <w:p w:rsidR="00467455" w:rsidRPr="00D83B8C" w:rsidRDefault="00467455" w:rsidP="00417FB7">
      <w:pPr>
        <w:jc w:val="center"/>
        <w:rPr>
          <w:lang w:val="fr-CA"/>
        </w:rPr>
      </w:pPr>
    </w:p>
    <w:p w:rsidR="009F436C" w:rsidRPr="00D83B8C" w:rsidRDefault="009F436C" w:rsidP="00417FB7">
      <w:pPr>
        <w:jc w:val="center"/>
        <w:rPr>
          <w:lang w:val="fr-CA"/>
        </w:rPr>
      </w:pPr>
    </w:p>
    <w:p w:rsidR="00467455" w:rsidRPr="00467455" w:rsidRDefault="00467455" w:rsidP="00467455">
      <w:pPr>
        <w:jc w:val="center"/>
        <w:rPr>
          <w:lang w:val="en-US"/>
        </w:rPr>
      </w:pPr>
      <w:r w:rsidRPr="00467455">
        <w:rPr>
          <w:lang w:val="en-US"/>
        </w:rPr>
        <w:lastRenderedPageBreak/>
        <w:t>J.S.C.C.</w:t>
      </w:r>
    </w:p>
    <w:p w:rsidR="00467455" w:rsidRPr="00467455" w:rsidRDefault="00467455" w:rsidP="00467455">
      <w:pPr>
        <w:jc w:val="center"/>
        <w:rPr>
          <w:lang w:val="en-US"/>
        </w:rPr>
      </w:pPr>
      <w:r w:rsidRPr="00467455">
        <w:rPr>
          <w:lang w:val="en-US"/>
        </w:rPr>
        <w:t>J.C.S.C.</w:t>
      </w:r>
    </w:p>
    <w:p w:rsidR="003A37CF" w:rsidRPr="00D83B8C" w:rsidRDefault="003A37CF" w:rsidP="00467455">
      <w:pPr>
        <w:jc w:val="center"/>
        <w:rPr>
          <w:lang w:val="fr-CA"/>
        </w:rPr>
      </w:pPr>
    </w:p>
    <w:sectPr w:rsidR="003A37CF" w:rsidRPr="00D83B8C" w:rsidSect="008F53F3">
      <w:head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20B05" w:rsidRPr="00417FB7">
      <w:rPr>
        <w:szCs w:val="24"/>
      </w:rPr>
      <w:fldChar w:fldCharType="begin"/>
    </w:r>
    <w:r w:rsidRPr="00417FB7">
      <w:rPr>
        <w:szCs w:val="24"/>
      </w:rPr>
      <w:instrText xml:space="preserve"> PAGE   \* MERGEFORMAT </w:instrText>
    </w:r>
    <w:r w:rsidR="00E20B05" w:rsidRPr="00417FB7">
      <w:rPr>
        <w:szCs w:val="24"/>
      </w:rPr>
      <w:fldChar w:fldCharType="separate"/>
    </w:r>
    <w:r w:rsidR="007F3CE9">
      <w:rPr>
        <w:noProof/>
        <w:szCs w:val="24"/>
      </w:rPr>
      <w:t>2</w:t>
    </w:r>
    <w:r w:rsidR="00E20B05"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34439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00C89"/>
    <w:rsid w:val="00414694"/>
    <w:rsid w:val="00417FB7"/>
    <w:rsid w:val="0042783F"/>
    <w:rsid w:val="00467455"/>
    <w:rsid w:val="004943CF"/>
    <w:rsid w:val="004956DA"/>
    <w:rsid w:val="004B7F3A"/>
    <w:rsid w:val="004D4658"/>
    <w:rsid w:val="0055342D"/>
    <w:rsid w:val="00563E2C"/>
    <w:rsid w:val="00587869"/>
    <w:rsid w:val="00612913"/>
    <w:rsid w:val="00614908"/>
    <w:rsid w:val="00650109"/>
    <w:rsid w:val="006719EC"/>
    <w:rsid w:val="006E7BAE"/>
    <w:rsid w:val="00701109"/>
    <w:rsid w:val="007372EA"/>
    <w:rsid w:val="0079129C"/>
    <w:rsid w:val="007917FE"/>
    <w:rsid w:val="007A54CC"/>
    <w:rsid w:val="007C5DE8"/>
    <w:rsid w:val="007E68C7"/>
    <w:rsid w:val="007F3CE9"/>
    <w:rsid w:val="00816B78"/>
    <w:rsid w:val="00824412"/>
    <w:rsid w:val="008262A3"/>
    <w:rsid w:val="00830BBE"/>
    <w:rsid w:val="0086042A"/>
    <w:rsid w:val="008763A3"/>
    <w:rsid w:val="008813BC"/>
    <w:rsid w:val="008A153F"/>
    <w:rsid w:val="008B2AE6"/>
    <w:rsid w:val="008F53F3"/>
    <w:rsid w:val="009305BF"/>
    <w:rsid w:val="00951EF6"/>
    <w:rsid w:val="0096638C"/>
    <w:rsid w:val="00971A08"/>
    <w:rsid w:val="009D45DF"/>
    <w:rsid w:val="009E0F71"/>
    <w:rsid w:val="009E7A46"/>
    <w:rsid w:val="009F436C"/>
    <w:rsid w:val="00A03153"/>
    <w:rsid w:val="00A103E3"/>
    <w:rsid w:val="00A252FA"/>
    <w:rsid w:val="00A626A7"/>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B5DB2"/>
    <w:rsid w:val="00DF404F"/>
    <w:rsid w:val="00E12A51"/>
    <w:rsid w:val="00E20B05"/>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4901">
      <w:bodyDiv w:val="1"/>
      <w:marLeft w:val="0"/>
      <w:marRight w:val="0"/>
      <w:marTop w:val="0"/>
      <w:marBottom w:val="0"/>
      <w:divBdr>
        <w:top w:val="none" w:sz="0" w:space="0" w:color="auto"/>
        <w:left w:val="none" w:sz="0" w:space="0" w:color="auto"/>
        <w:bottom w:val="none" w:sz="0" w:space="0" w:color="auto"/>
        <w:right w:val="none" w:sz="0" w:space="0" w:color="auto"/>
      </w:divBdr>
    </w:div>
    <w:div w:id="16269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D4DD-B1E9-48D7-9064-0F115D77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244</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2012-02-22T15:49:00Z</cp:lastPrinted>
  <dcterms:created xsi:type="dcterms:W3CDTF">2012-02-03T19:59:00Z</dcterms:created>
  <dcterms:modified xsi:type="dcterms:W3CDTF">2012-02-27T16:30:00Z</dcterms:modified>
</cp:coreProperties>
</file>