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34419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302290" w:rsidP="008262A3">
            <w:r>
              <w:t>February 9</w:t>
            </w:r>
            <w:r w:rsidR="00EE2A6C">
              <w:t>, 2012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302290">
            <w:pPr>
              <w:rPr>
                <w:lang w:val="en-US"/>
              </w:rPr>
            </w:pPr>
            <w:r>
              <w:t xml:space="preserve">Le </w:t>
            </w:r>
            <w:r w:rsidR="00302290">
              <w:t xml:space="preserve">9 </w:t>
            </w:r>
            <w:proofErr w:type="spellStart"/>
            <w:r w:rsidR="00302290">
              <w:t>février</w:t>
            </w:r>
            <w:proofErr w:type="spellEnd"/>
            <w:r>
              <w:t xml:space="preserve"> 2012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D0717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LeBel, Abella and Cromwell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302290">
              <w:rPr>
                <w:lang w:val="fr-CA"/>
              </w:rPr>
              <w:t>Les juges LeBel, Abella et Cromwell</w:t>
            </w:r>
          </w:p>
        </w:tc>
      </w:tr>
      <w:tr w:rsidR="00C2612E" w:rsidRPr="00FD0717" w:rsidTr="00F47372">
        <w:tc>
          <w:tcPr>
            <w:tcW w:w="2269" w:type="pct"/>
          </w:tcPr>
          <w:p w:rsidR="00C2612E" w:rsidRPr="00302290" w:rsidRDefault="00C2612E" w:rsidP="008262A3">
            <w:pPr>
              <w:rPr>
                <w:lang w:val="fr-CA"/>
              </w:rPr>
            </w:pPr>
          </w:p>
          <w:p w:rsidR="00C2612E" w:rsidRPr="00302290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302290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DA67D8" w:rsidRDefault="003566F7">
            <w:pPr>
              <w:pStyle w:val="SCCLsocPrefix"/>
            </w:pPr>
            <w:r>
              <w:t>BETWEEN:</w:t>
            </w:r>
            <w:r>
              <w:br/>
            </w:r>
          </w:p>
          <w:p w:rsidR="00DA67D8" w:rsidRDefault="003566F7">
            <w:pPr>
              <w:pStyle w:val="SCCLsocParty"/>
            </w:pPr>
            <w:r>
              <w:t>Heli Tech Services (Canada) Ltd., Corporacion La Campana de la Villa S.A and Philip Jarman</w:t>
            </w:r>
            <w:r>
              <w:br/>
            </w:r>
          </w:p>
          <w:p w:rsidR="00DA67D8" w:rsidRDefault="003566F7">
            <w:pPr>
              <w:pStyle w:val="SCCLsocPartyRole"/>
            </w:pPr>
            <w:r>
              <w:t>Applicants</w:t>
            </w:r>
            <w:r>
              <w:br/>
            </w:r>
          </w:p>
          <w:p w:rsidR="00DA67D8" w:rsidRDefault="003566F7">
            <w:pPr>
              <w:pStyle w:val="SCCLsocVersus"/>
            </w:pPr>
            <w:r>
              <w:t>- and -</w:t>
            </w:r>
            <w:r>
              <w:br/>
            </w:r>
          </w:p>
          <w:p w:rsidR="00DA67D8" w:rsidRDefault="003566F7">
            <w:pPr>
              <w:pStyle w:val="SCCLsocParty"/>
            </w:pPr>
            <w:r>
              <w:t>Weyerhaeuser Company Limited/Compagnie Weyerhaeuser Limitée, doing business as Cascadia Forest Products, and doing</w:t>
            </w:r>
            <w:r w:rsidR="00656228">
              <w:t xml:space="preserve"> business as Island Timberlands</w:t>
            </w:r>
            <w:r>
              <w:t xml:space="preserve"> and Cascadia Forest Products Ltd., Island Timberlands GP Ltd., </w:t>
            </w:r>
            <w:proofErr w:type="spellStart"/>
            <w:r>
              <w:t>Timber</w:t>
            </w:r>
            <w:r w:rsidR="00656228">
              <w:t>W</w:t>
            </w:r>
            <w:r>
              <w:t>est</w:t>
            </w:r>
            <w:proofErr w:type="spellEnd"/>
            <w:r>
              <w:t xml:space="preserve"> Forest Corp., Brascan Timberlands Management GP Inc., 550777 B.C. Ltd., operating as </w:t>
            </w:r>
            <w:r w:rsidR="00E739FF">
              <w:t>“</w:t>
            </w:r>
            <w:r>
              <w:t>R.E.M</w:t>
            </w:r>
            <w:r w:rsidR="00E739FF">
              <w:t>”</w:t>
            </w:r>
            <w:r>
              <w:t xml:space="preserve"> Contracting</w:t>
            </w:r>
            <w:r w:rsidR="00E739FF">
              <w:t>”</w:t>
            </w:r>
            <w:r>
              <w:t>, Canadian Air-</w:t>
            </w:r>
            <w:r w:rsidR="00E739FF">
              <w:t>Crane Limited, VIH Logging Ltd. and</w:t>
            </w:r>
            <w:r>
              <w:t xml:space="preserve"> International Forest Products Limited</w:t>
            </w:r>
            <w:r>
              <w:br/>
            </w:r>
          </w:p>
          <w:p w:rsidR="00DA67D8" w:rsidRDefault="003566F7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DA67D8" w:rsidRPr="00C70C1C" w:rsidRDefault="003566F7">
            <w:pPr>
              <w:pStyle w:val="SCCLsocPrefix"/>
              <w:rPr>
                <w:lang w:val="fr-CA"/>
              </w:rPr>
            </w:pPr>
            <w:r w:rsidRPr="00C70C1C">
              <w:rPr>
                <w:lang w:val="fr-CA"/>
              </w:rPr>
              <w:t>ENTRE :</w:t>
            </w:r>
            <w:r w:rsidRPr="00C70C1C">
              <w:rPr>
                <w:lang w:val="fr-CA"/>
              </w:rPr>
              <w:br/>
            </w:r>
          </w:p>
          <w:p w:rsidR="00DA67D8" w:rsidRPr="00C70C1C" w:rsidRDefault="003566F7">
            <w:pPr>
              <w:pStyle w:val="SCCLsocParty"/>
              <w:rPr>
                <w:lang w:val="fr-CA"/>
              </w:rPr>
            </w:pPr>
            <w:proofErr w:type="spellStart"/>
            <w:r w:rsidRPr="00C70C1C">
              <w:rPr>
                <w:lang w:val="fr-CA"/>
              </w:rPr>
              <w:t>Heli</w:t>
            </w:r>
            <w:proofErr w:type="spellEnd"/>
            <w:r w:rsidRPr="00C70C1C">
              <w:rPr>
                <w:lang w:val="fr-CA"/>
              </w:rPr>
              <w:t xml:space="preserve"> Tech Services (Canada) Ltd., </w:t>
            </w:r>
            <w:proofErr w:type="spellStart"/>
            <w:r w:rsidRPr="00C70C1C">
              <w:rPr>
                <w:lang w:val="fr-CA"/>
              </w:rPr>
              <w:t>Corporacion</w:t>
            </w:r>
            <w:proofErr w:type="spellEnd"/>
            <w:r w:rsidRPr="00C70C1C">
              <w:rPr>
                <w:lang w:val="fr-CA"/>
              </w:rPr>
              <w:t xml:space="preserve"> La Campana de la Villa S.A </w:t>
            </w:r>
            <w:r w:rsidR="00302290" w:rsidRPr="00C70C1C">
              <w:rPr>
                <w:lang w:val="fr-CA"/>
              </w:rPr>
              <w:t>et</w:t>
            </w:r>
            <w:r w:rsidRPr="00C70C1C">
              <w:rPr>
                <w:lang w:val="fr-CA"/>
              </w:rPr>
              <w:t xml:space="preserve"> Philip </w:t>
            </w:r>
            <w:proofErr w:type="spellStart"/>
            <w:r w:rsidRPr="00C70C1C">
              <w:rPr>
                <w:lang w:val="fr-CA"/>
              </w:rPr>
              <w:t>Jarman</w:t>
            </w:r>
            <w:proofErr w:type="spellEnd"/>
            <w:r w:rsidRPr="00C70C1C">
              <w:rPr>
                <w:lang w:val="fr-CA"/>
              </w:rPr>
              <w:br/>
            </w:r>
          </w:p>
          <w:p w:rsidR="00DA67D8" w:rsidRDefault="003566F7">
            <w:pPr>
              <w:pStyle w:val="SCCLsocPartyRole"/>
            </w:pPr>
            <w:proofErr w:type="spellStart"/>
            <w:r>
              <w:t>Demandeurs</w:t>
            </w:r>
            <w:proofErr w:type="spellEnd"/>
            <w:r>
              <w:br/>
            </w:r>
          </w:p>
          <w:p w:rsidR="00DA67D8" w:rsidRDefault="003566F7">
            <w:pPr>
              <w:pStyle w:val="SCCLsocVersus"/>
            </w:pPr>
            <w:r>
              <w:t>- et -</w:t>
            </w:r>
            <w:r>
              <w:br/>
            </w:r>
          </w:p>
          <w:p w:rsidR="00DA67D8" w:rsidRDefault="003566F7">
            <w:pPr>
              <w:pStyle w:val="SCCLsocParty"/>
            </w:pPr>
            <w:r>
              <w:t xml:space="preserve">Weyerhaeuser Company Limited/Compagnie Weyerhaeuser Limitée, doing business as Cascadia Forest Products, and doing business </w:t>
            </w:r>
            <w:r w:rsidR="00656228">
              <w:t>as Island Timberlands</w:t>
            </w:r>
            <w:r>
              <w:t xml:space="preserve"> and Cascadia Forest Products Ltd.</w:t>
            </w:r>
            <w:r w:rsidR="00656228">
              <w:t>,</w:t>
            </w:r>
            <w:r>
              <w:t xml:space="preserve"> Island Timberlands GP Ltd., </w:t>
            </w:r>
            <w:proofErr w:type="spellStart"/>
            <w:r w:rsidR="00656228">
              <w:t>TimberW</w:t>
            </w:r>
            <w:r>
              <w:t>est</w:t>
            </w:r>
            <w:proofErr w:type="spellEnd"/>
            <w:r>
              <w:t xml:space="preserve"> Forest Corp., Brascan Timberlands Management GP Inc., 550777 B.C. Ltd., operating as </w:t>
            </w:r>
            <w:r w:rsidR="00E739FF">
              <w:t>“</w:t>
            </w:r>
            <w:r>
              <w:t>R.E.M</w:t>
            </w:r>
            <w:r w:rsidR="00E739FF">
              <w:t>” Contracting”</w:t>
            </w:r>
            <w:r>
              <w:t>, Canadian Air-Crane Limited, VIH Logging Ltd.</w:t>
            </w:r>
            <w:r w:rsidR="00E739FF">
              <w:t xml:space="preserve"> et</w:t>
            </w:r>
            <w:r>
              <w:t xml:space="preserve"> International Forest Products Limited</w:t>
            </w:r>
            <w:r>
              <w:br/>
            </w:r>
          </w:p>
          <w:p w:rsidR="00DA67D8" w:rsidRDefault="003566F7" w:rsidP="00E739FF">
            <w:pPr>
              <w:pStyle w:val="SCCLsocPartyRole"/>
            </w:pPr>
            <w:proofErr w:type="spellStart"/>
            <w:r>
              <w:t>Intimées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D0717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85D1D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A-278-09, 2011 FCA 193</w:t>
            </w:r>
            <w:r w:rsidRPr="006E7BAE">
              <w:t xml:space="preserve">, dated </w:t>
            </w:r>
            <w:r>
              <w:t>June 7, 2011</w:t>
            </w:r>
            <w:r w:rsidR="00323C0E">
              <w:t>,</w:t>
            </w:r>
            <w:r w:rsidRPr="006E7BAE">
              <w:t xml:space="preserve"> is </w:t>
            </w:r>
            <w:r w:rsidR="00323C0E">
              <w:t xml:space="preserve">dismissed with costs to the respondents Brascan Timberlands Management GP Inc., Island Timberlands GP Ltd., Cascadia Forest Products Ltd., </w:t>
            </w:r>
            <w:proofErr w:type="spellStart"/>
            <w:r w:rsidR="00323C0E">
              <w:t>Timber</w:t>
            </w:r>
            <w:r w:rsidR="00085D1D">
              <w:t>W</w:t>
            </w:r>
            <w:r w:rsidR="00323C0E">
              <w:t>est</w:t>
            </w:r>
            <w:proofErr w:type="spellEnd"/>
            <w:r w:rsidR="00323C0E">
              <w:t xml:space="preserve"> Forest Corp. and International Forest Products Limited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85D1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02290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302290">
              <w:rPr>
                <w:lang w:val="fr-CA"/>
              </w:rPr>
              <w:t>A-278-09, 2011 CA</w:t>
            </w:r>
            <w:r w:rsidR="00B302A8">
              <w:rPr>
                <w:lang w:val="fr-CA"/>
              </w:rPr>
              <w:t>F</w:t>
            </w:r>
            <w:r w:rsidRPr="00302290">
              <w:rPr>
                <w:lang w:val="fr-CA"/>
              </w:rPr>
              <w:t xml:space="preserve"> 193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02290">
              <w:rPr>
                <w:lang w:val="fr-CA"/>
              </w:rPr>
              <w:t>7 juin 2011</w:t>
            </w:r>
            <w:r w:rsidRPr="006E7BAE">
              <w:rPr>
                <w:lang w:val="fr-CA"/>
              </w:rPr>
              <w:t xml:space="preserve">, est </w:t>
            </w:r>
            <w:r w:rsidR="00B302A8">
              <w:rPr>
                <w:lang w:val="fr-CA"/>
              </w:rPr>
              <w:t xml:space="preserve">rejetée avec dépens en faveur des intimées </w:t>
            </w:r>
            <w:proofErr w:type="spellStart"/>
            <w:r w:rsidR="00B302A8" w:rsidRPr="00B302A8">
              <w:rPr>
                <w:lang w:val="fr-CA"/>
              </w:rPr>
              <w:t>Brascan</w:t>
            </w:r>
            <w:proofErr w:type="spellEnd"/>
            <w:r w:rsidR="00B302A8" w:rsidRPr="00B302A8">
              <w:rPr>
                <w:lang w:val="fr-CA"/>
              </w:rPr>
              <w:t xml:space="preserve"> </w:t>
            </w:r>
            <w:proofErr w:type="spellStart"/>
            <w:r w:rsidR="00B302A8" w:rsidRPr="00B302A8">
              <w:rPr>
                <w:lang w:val="fr-CA"/>
              </w:rPr>
              <w:t>Timberlands</w:t>
            </w:r>
            <w:proofErr w:type="spellEnd"/>
            <w:r w:rsidR="00B302A8" w:rsidRPr="00B302A8">
              <w:rPr>
                <w:lang w:val="fr-CA"/>
              </w:rPr>
              <w:t xml:space="preserve"> Management GP Inc., Island </w:t>
            </w:r>
            <w:proofErr w:type="spellStart"/>
            <w:r w:rsidR="00B302A8" w:rsidRPr="00B302A8">
              <w:rPr>
                <w:lang w:val="fr-CA"/>
              </w:rPr>
              <w:t>Timberlands</w:t>
            </w:r>
            <w:proofErr w:type="spellEnd"/>
            <w:r w:rsidR="00B302A8" w:rsidRPr="00B302A8">
              <w:rPr>
                <w:lang w:val="fr-CA"/>
              </w:rPr>
              <w:t xml:space="preserve"> GP Ltd., </w:t>
            </w:r>
            <w:proofErr w:type="spellStart"/>
            <w:r w:rsidR="00B302A8" w:rsidRPr="00B302A8">
              <w:rPr>
                <w:lang w:val="fr-CA"/>
              </w:rPr>
              <w:t>Cascadia</w:t>
            </w:r>
            <w:proofErr w:type="spellEnd"/>
            <w:r w:rsidR="00B302A8" w:rsidRPr="00B302A8">
              <w:rPr>
                <w:lang w:val="fr-CA"/>
              </w:rPr>
              <w:t xml:space="preserve"> Forest </w:t>
            </w:r>
            <w:proofErr w:type="spellStart"/>
            <w:r w:rsidR="00B302A8" w:rsidRPr="00B302A8">
              <w:rPr>
                <w:lang w:val="fr-CA"/>
              </w:rPr>
              <w:t>Products</w:t>
            </w:r>
            <w:proofErr w:type="spellEnd"/>
            <w:r w:rsidR="00B302A8" w:rsidRPr="00B302A8">
              <w:rPr>
                <w:lang w:val="fr-CA"/>
              </w:rPr>
              <w:t xml:space="preserve"> Ltd., </w:t>
            </w:r>
            <w:proofErr w:type="spellStart"/>
            <w:r w:rsidR="00B302A8" w:rsidRPr="00B302A8">
              <w:rPr>
                <w:lang w:val="fr-CA"/>
              </w:rPr>
              <w:t>Timber</w:t>
            </w:r>
            <w:r w:rsidR="00085D1D">
              <w:rPr>
                <w:lang w:val="fr-CA"/>
              </w:rPr>
              <w:t>W</w:t>
            </w:r>
            <w:r w:rsidR="00B302A8" w:rsidRPr="00B302A8">
              <w:rPr>
                <w:lang w:val="fr-CA"/>
              </w:rPr>
              <w:t>est</w:t>
            </w:r>
            <w:proofErr w:type="spellEnd"/>
            <w:r w:rsidR="00B302A8" w:rsidRPr="00B302A8">
              <w:rPr>
                <w:lang w:val="fr-CA"/>
              </w:rPr>
              <w:t xml:space="preserve"> Forest Corp. </w:t>
            </w:r>
            <w:r w:rsidR="00B52D20">
              <w:rPr>
                <w:lang w:val="fr-CA"/>
              </w:rPr>
              <w:t>et</w:t>
            </w:r>
            <w:r w:rsidR="00B302A8" w:rsidRPr="00B302A8">
              <w:rPr>
                <w:lang w:val="fr-CA"/>
              </w:rPr>
              <w:t xml:space="preserve"> International Forest </w:t>
            </w:r>
            <w:proofErr w:type="spellStart"/>
            <w:r w:rsidR="00B302A8" w:rsidRPr="00B302A8">
              <w:rPr>
                <w:lang w:val="fr-CA"/>
              </w:rPr>
              <w:t>Products</w:t>
            </w:r>
            <w:proofErr w:type="spellEnd"/>
            <w:r w:rsidR="00B302A8" w:rsidRPr="00B302A8">
              <w:rPr>
                <w:lang w:val="fr-CA"/>
              </w:rPr>
              <w:t xml:space="preserve"> Limited.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B302A8" w:rsidRDefault="00B302A8" w:rsidP="00417FB7">
      <w:pPr>
        <w:jc w:val="center"/>
        <w:rPr>
          <w:lang w:val="fr-CA"/>
        </w:rPr>
      </w:pPr>
    </w:p>
    <w:p w:rsidR="00B302A8" w:rsidRPr="00D83B8C" w:rsidRDefault="00B302A8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B302A8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B302A8" w:rsidRPr="00D83B8C">
        <w:rPr>
          <w:lang w:val="fr-CA"/>
        </w:rPr>
        <w:t xml:space="preserve"> 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5162A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5162A2" w:rsidRPr="00417FB7">
      <w:rPr>
        <w:szCs w:val="24"/>
      </w:rPr>
      <w:fldChar w:fldCharType="separate"/>
    </w:r>
    <w:r w:rsidR="00FD0717">
      <w:rPr>
        <w:noProof/>
        <w:szCs w:val="24"/>
      </w:rPr>
      <w:t>2</w:t>
    </w:r>
    <w:r w:rsidR="005162A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34419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85D1D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02290"/>
    <w:rsid w:val="0031097F"/>
    <w:rsid w:val="0031165C"/>
    <w:rsid w:val="00323C0E"/>
    <w:rsid w:val="00356186"/>
    <w:rsid w:val="003566F7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162A2"/>
    <w:rsid w:val="00563E2C"/>
    <w:rsid w:val="00587869"/>
    <w:rsid w:val="00612913"/>
    <w:rsid w:val="00614908"/>
    <w:rsid w:val="00650109"/>
    <w:rsid w:val="00656228"/>
    <w:rsid w:val="006E7BAE"/>
    <w:rsid w:val="00701109"/>
    <w:rsid w:val="007372EA"/>
    <w:rsid w:val="0079129C"/>
    <w:rsid w:val="007917FE"/>
    <w:rsid w:val="007A54CC"/>
    <w:rsid w:val="007B49EB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D7A7F"/>
    <w:rsid w:val="00AE2077"/>
    <w:rsid w:val="00B158E3"/>
    <w:rsid w:val="00B302A8"/>
    <w:rsid w:val="00B408F8"/>
    <w:rsid w:val="00B5078E"/>
    <w:rsid w:val="00B52D20"/>
    <w:rsid w:val="00B60EDC"/>
    <w:rsid w:val="00BD4E4C"/>
    <w:rsid w:val="00BF7644"/>
    <w:rsid w:val="00C1285B"/>
    <w:rsid w:val="00C2612E"/>
    <w:rsid w:val="00C70C1C"/>
    <w:rsid w:val="00CE249F"/>
    <w:rsid w:val="00CF17D0"/>
    <w:rsid w:val="00D42339"/>
    <w:rsid w:val="00D61AC2"/>
    <w:rsid w:val="00D83B8C"/>
    <w:rsid w:val="00DA67D8"/>
    <w:rsid w:val="00E12A51"/>
    <w:rsid w:val="00E739FF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0717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E5B9-67D8-4455-BD7F-9B37052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Farkhunda Aziz</cp:lastModifiedBy>
  <cp:revision>12</cp:revision>
  <dcterms:created xsi:type="dcterms:W3CDTF">2012-01-11T17:18:00Z</dcterms:created>
  <dcterms:modified xsi:type="dcterms:W3CDTF">2012-02-13T18:02:00Z</dcterms:modified>
</cp:coreProperties>
</file>