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34513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6E7BAE" w:rsidTr="00F47372">
        <w:tc>
          <w:tcPr>
            <w:tcW w:w="2269" w:type="pct"/>
          </w:tcPr>
          <w:p w:rsidR="00417FB7" w:rsidRPr="006E7BAE" w:rsidRDefault="001B7BC6" w:rsidP="008262A3">
            <w:r>
              <w:t>March 1</w:t>
            </w:r>
            <w:r w:rsidR="00EE2A6C">
              <w:t>, 2012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EE2A6C" w:rsidP="001B7BC6">
            <w:pPr>
              <w:rPr>
                <w:lang w:val="en-US"/>
              </w:rPr>
            </w:pPr>
            <w:r>
              <w:t xml:space="preserve">Le </w:t>
            </w:r>
            <w:r w:rsidR="001B7BC6">
              <w:t>1</w:t>
            </w:r>
            <w:r w:rsidR="001B7BC6" w:rsidRPr="001B7BC6">
              <w:rPr>
                <w:vertAlign w:val="superscript"/>
              </w:rPr>
              <w:t>er</w:t>
            </w:r>
            <w:r w:rsidR="001B7BC6">
              <w:t xml:space="preserve"> mars</w:t>
            </w:r>
            <w:r>
              <w:t xml:space="preserve"> 2012</w:t>
            </w:r>
          </w:p>
        </w:tc>
      </w:tr>
      <w:tr w:rsidR="00E12A51" w:rsidRPr="006E7BAE" w:rsidTr="00F47372">
        <w:tc>
          <w:tcPr>
            <w:tcW w:w="2269" w:type="pct"/>
          </w:tcPr>
          <w:p w:rsidR="00C2612E" w:rsidRPr="006E7BAE" w:rsidRDefault="00C2612E" w:rsidP="008262A3"/>
        </w:tc>
        <w:tc>
          <w:tcPr>
            <w:tcW w:w="381" w:type="pct"/>
          </w:tcPr>
          <w:p w:rsidR="00E12A51" w:rsidRPr="006E7BAE" w:rsidRDefault="00E12A51" w:rsidP="00382FEC"/>
        </w:tc>
        <w:tc>
          <w:tcPr>
            <w:tcW w:w="2350" w:type="pct"/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6B0018" w:rsidTr="00F47372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LeBel, Abella and Cromwell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1B7BC6">
              <w:rPr>
                <w:lang w:val="fr-CA"/>
              </w:rPr>
              <w:t>Les juges LeBel, Abella et Cromwell</w:t>
            </w:r>
          </w:p>
        </w:tc>
      </w:tr>
      <w:tr w:rsidR="00C2612E" w:rsidRPr="006B0018" w:rsidTr="00F47372">
        <w:tc>
          <w:tcPr>
            <w:tcW w:w="2269" w:type="pct"/>
          </w:tcPr>
          <w:p w:rsidR="00C2612E" w:rsidRPr="001B7BC6" w:rsidRDefault="00C2612E" w:rsidP="008262A3">
            <w:pPr>
              <w:rPr>
                <w:lang w:val="fr-CA"/>
              </w:rPr>
            </w:pPr>
          </w:p>
          <w:p w:rsidR="00C2612E" w:rsidRPr="001B7BC6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</w:tcPr>
          <w:p w:rsidR="00C2612E" w:rsidRPr="001B7BC6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B0018" w:rsidTr="00F47372">
        <w:tc>
          <w:tcPr>
            <w:tcW w:w="2269" w:type="pct"/>
            <w:vAlign w:val="center"/>
          </w:tcPr>
          <w:p w:rsidR="00FC7FDA" w:rsidRDefault="006C6352">
            <w:pPr>
              <w:pStyle w:val="SCCLsocPrefix"/>
            </w:pPr>
            <w:r>
              <w:t>BETWEEN:</w:t>
            </w:r>
            <w:r>
              <w:br/>
            </w:r>
          </w:p>
          <w:p w:rsidR="00FC7FDA" w:rsidRDefault="006C6352">
            <w:pPr>
              <w:pStyle w:val="SCCLsocParty"/>
            </w:pPr>
            <w:r>
              <w:t>Pal Vasarhelyi</w:t>
            </w:r>
            <w:r>
              <w:br/>
            </w:r>
          </w:p>
          <w:p w:rsidR="00FC7FDA" w:rsidRDefault="006C6352">
            <w:pPr>
              <w:pStyle w:val="SCCLsocPartyRole"/>
            </w:pPr>
            <w:r>
              <w:t>Applicant</w:t>
            </w:r>
            <w:r>
              <w:br/>
            </w:r>
          </w:p>
          <w:p w:rsidR="00FC7FDA" w:rsidRDefault="006C6352">
            <w:pPr>
              <w:pStyle w:val="SCCLsocVersus"/>
            </w:pPr>
            <w:r>
              <w:t>- and -</w:t>
            </w:r>
            <w:r>
              <w:br/>
            </w:r>
          </w:p>
          <w:p w:rsidR="00FC7FDA" w:rsidRDefault="006C6352">
            <w:pPr>
              <w:pStyle w:val="SCCLsocParty"/>
            </w:pPr>
            <w:r>
              <w:t>Her Majesty the Queen</w:t>
            </w:r>
            <w:r>
              <w:br/>
            </w:r>
          </w:p>
          <w:p w:rsidR="00FC7FDA" w:rsidRDefault="006C6352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FC7FDA" w:rsidRPr="001B7BC6" w:rsidRDefault="006C6352">
            <w:pPr>
              <w:pStyle w:val="SCCLsocPrefix"/>
              <w:rPr>
                <w:lang w:val="fr-CA"/>
              </w:rPr>
            </w:pPr>
            <w:r w:rsidRPr="001B7BC6">
              <w:rPr>
                <w:lang w:val="fr-CA"/>
              </w:rPr>
              <w:t>ENTRE :</w:t>
            </w:r>
            <w:r w:rsidRPr="001B7BC6">
              <w:rPr>
                <w:lang w:val="fr-CA"/>
              </w:rPr>
              <w:br/>
            </w:r>
          </w:p>
          <w:p w:rsidR="00FC7FDA" w:rsidRPr="001B7BC6" w:rsidRDefault="006C6352">
            <w:pPr>
              <w:pStyle w:val="SCCLsocParty"/>
              <w:rPr>
                <w:lang w:val="fr-CA"/>
              </w:rPr>
            </w:pPr>
            <w:r w:rsidRPr="001B7BC6">
              <w:rPr>
                <w:lang w:val="fr-CA"/>
              </w:rPr>
              <w:t xml:space="preserve">Pal </w:t>
            </w:r>
            <w:proofErr w:type="spellStart"/>
            <w:r w:rsidRPr="001B7BC6">
              <w:rPr>
                <w:lang w:val="fr-CA"/>
              </w:rPr>
              <w:t>Vasarhelyi</w:t>
            </w:r>
            <w:proofErr w:type="spellEnd"/>
            <w:r w:rsidRPr="001B7BC6">
              <w:rPr>
                <w:lang w:val="fr-CA"/>
              </w:rPr>
              <w:br/>
            </w:r>
          </w:p>
          <w:p w:rsidR="00FC7FDA" w:rsidRPr="001B7BC6" w:rsidRDefault="006C6352">
            <w:pPr>
              <w:pStyle w:val="SCCLsocPartyRole"/>
              <w:rPr>
                <w:lang w:val="fr-CA"/>
              </w:rPr>
            </w:pPr>
            <w:r w:rsidRPr="001B7BC6">
              <w:rPr>
                <w:lang w:val="fr-CA"/>
              </w:rPr>
              <w:t>Demandeur</w:t>
            </w:r>
            <w:r w:rsidRPr="001B7BC6">
              <w:rPr>
                <w:lang w:val="fr-CA"/>
              </w:rPr>
              <w:br/>
            </w:r>
          </w:p>
          <w:p w:rsidR="00FC7FDA" w:rsidRPr="001B7BC6" w:rsidRDefault="006C6352">
            <w:pPr>
              <w:pStyle w:val="SCCLsocVersus"/>
              <w:rPr>
                <w:lang w:val="fr-CA"/>
              </w:rPr>
            </w:pPr>
            <w:r w:rsidRPr="001B7BC6">
              <w:rPr>
                <w:lang w:val="fr-CA"/>
              </w:rPr>
              <w:t>- et -</w:t>
            </w:r>
            <w:r w:rsidRPr="001B7BC6">
              <w:rPr>
                <w:lang w:val="fr-CA"/>
              </w:rPr>
              <w:br/>
            </w:r>
          </w:p>
          <w:p w:rsidR="00FC7FDA" w:rsidRPr="001B7BC6" w:rsidRDefault="006C6352">
            <w:pPr>
              <w:pStyle w:val="SCCLsocParty"/>
              <w:rPr>
                <w:lang w:val="fr-CA"/>
              </w:rPr>
            </w:pPr>
            <w:r w:rsidRPr="001B7BC6">
              <w:rPr>
                <w:lang w:val="fr-CA"/>
              </w:rPr>
              <w:t>Sa Majesté la Reine</w:t>
            </w:r>
            <w:r w:rsidRPr="001B7BC6">
              <w:rPr>
                <w:lang w:val="fr-CA"/>
              </w:rPr>
              <w:br/>
            </w:r>
          </w:p>
          <w:p w:rsidR="00FC7FDA" w:rsidRPr="006B0018" w:rsidRDefault="006C6352" w:rsidP="001B7BC6">
            <w:pPr>
              <w:pStyle w:val="SCCLsocPartyRole"/>
              <w:rPr>
                <w:lang w:val="fr-CA"/>
              </w:rPr>
            </w:pPr>
            <w:r w:rsidRPr="006B0018">
              <w:rPr>
                <w:lang w:val="fr-CA"/>
              </w:rPr>
              <w:t>Intimée</w:t>
            </w:r>
          </w:p>
        </w:tc>
      </w:tr>
      <w:tr w:rsidR="00824412" w:rsidRPr="006B0018" w:rsidTr="00F47372">
        <w:tc>
          <w:tcPr>
            <w:tcW w:w="2269" w:type="pct"/>
            <w:vAlign w:val="center"/>
          </w:tcPr>
          <w:p w:rsidR="00824412" w:rsidRPr="006B0018" w:rsidRDefault="00824412" w:rsidP="00375294">
            <w:pPr>
              <w:rPr>
                <w:lang w:val="fr-CA"/>
              </w:rPr>
            </w:pPr>
          </w:p>
          <w:p w:rsidR="00824412" w:rsidRPr="006B0018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vAlign w:val="center"/>
          </w:tcPr>
          <w:p w:rsidR="00824412" w:rsidRPr="006B0018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vAlign w:val="center"/>
          </w:tcPr>
          <w:p w:rsidR="00824412" w:rsidRPr="006B0018" w:rsidRDefault="00824412" w:rsidP="00B408F8">
            <w:pPr>
              <w:rPr>
                <w:lang w:val="fr-CA"/>
              </w:rPr>
            </w:pPr>
          </w:p>
        </w:tc>
      </w:tr>
      <w:tr w:rsidR="00824412" w:rsidRPr="006B0018" w:rsidTr="00F47372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1B7BC6" w:rsidP="003B2118">
            <w:pPr>
              <w:jc w:val="both"/>
            </w:pPr>
            <w:r>
              <w:t xml:space="preserve">The motion for an extension of time to serve and file the application for leave to appeal is granted. The motion to appoint counsel is dismissed.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Ontario</w:t>
            </w:r>
            <w:r w:rsidR="00824412" w:rsidRPr="006E7BAE">
              <w:t xml:space="preserve">, Number </w:t>
            </w:r>
            <w:r w:rsidR="00824412">
              <w:t>C50698, 2011 ONCA 397</w:t>
            </w:r>
            <w:r w:rsidR="00824412" w:rsidRPr="006E7BAE">
              <w:t xml:space="preserve">, dated </w:t>
            </w:r>
            <w:r w:rsidR="00824412">
              <w:t>May 20, 2011</w:t>
            </w:r>
            <w:r w:rsidR="003B2118">
              <w:t>,</w:t>
            </w:r>
            <w:r w:rsidR="00824412" w:rsidRPr="006E7BAE">
              <w:t xml:space="preserve"> is </w:t>
            </w:r>
            <w:r w:rsidR="003B2118">
              <w:t>dismissed without costs</w:t>
            </w:r>
            <w:r w:rsidR="00824412" w:rsidRPr="006E7BA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1B7BC6" w:rsidP="003B2118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La requête en prorogation du délai de signification et de dépôt de la demande d’autorisation d’appel est accordée. La requête en nomination d’un avocat est rejetée.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1B7BC6">
              <w:rPr>
                <w:lang w:val="fr-CA"/>
              </w:rPr>
              <w:t>Cour d’appel de l’Ontario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1B7BC6">
              <w:rPr>
                <w:lang w:val="fr-CA"/>
              </w:rPr>
              <w:t>C50698, 2011 ONCA 397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1B7BC6">
              <w:rPr>
                <w:lang w:val="fr-CA"/>
              </w:rPr>
              <w:t>20 mai 2011</w:t>
            </w:r>
            <w:r w:rsidR="00824412" w:rsidRPr="006E7BAE">
              <w:rPr>
                <w:lang w:val="fr-CA"/>
              </w:rPr>
              <w:t xml:space="preserve">, est </w:t>
            </w:r>
            <w:r w:rsidR="003B2118">
              <w:rPr>
                <w:lang w:val="fr-CA"/>
              </w:rPr>
              <w:t>rejetée sans dépens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3A37CF" w:rsidRPr="00D83B8C" w:rsidRDefault="003A37CF" w:rsidP="003B2118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3B2118" w:rsidRPr="00D83B8C">
        <w:rPr>
          <w:lang w:val="fr-CA"/>
        </w:rPr>
        <w:t xml:space="preserve"> </w:t>
      </w:r>
    </w:p>
    <w:sectPr w:rsidR="003A37CF" w:rsidRPr="00D83B8C" w:rsidSect="003B2118">
      <w:headerReference w:type="default" r:id="rId8"/>
      <w:pgSz w:w="12240" w:h="15840"/>
      <w:pgMar w:top="1440" w:right="1440" w:bottom="1440" w:left="1440" w:header="144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A46C72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A46C72" w:rsidRPr="00417FB7">
      <w:rPr>
        <w:szCs w:val="24"/>
      </w:rPr>
      <w:fldChar w:fldCharType="separate"/>
    </w:r>
    <w:r w:rsidR="003B2118">
      <w:rPr>
        <w:noProof/>
        <w:szCs w:val="24"/>
      </w:rPr>
      <w:t>4</w:t>
    </w:r>
    <w:r w:rsidR="00A46C72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34513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11960"/>
    <w:rsid w:val="000306C6"/>
    <w:rsid w:val="0003701B"/>
    <w:rsid w:val="0004338D"/>
    <w:rsid w:val="00057FAF"/>
    <w:rsid w:val="00074657"/>
    <w:rsid w:val="00091327"/>
    <w:rsid w:val="000919B4"/>
    <w:rsid w:val="000B4AA7"/>
    <w:rsid w:val="000B76FF"/>
    <w:rsid w:val="000D7521"/>
    <w:rsid w:val="000E4CCE"/>
    <w:rsid w:val="0016666F"/>
    <w:rsid w:val="00167C15"/>
    <w:rsid w:val="001B7BC6"/>
    <w:rsid w:val="001D0116"/>
    <w:rsid w:val="001D4323"/>
    <w:rsid w:val="00203642"/>
    <w:rsid w:val="002523DE"/>
    <w:rsid w:val="002568D3"/>
    <w:rsid w:val="0027284C"/>
    <w:rsid w:val="002B5FA6"/>
    <w:rsid w:val="0031097F"/>
    <w:rsid w:val="0031165C"/>
    <w:rsid w:val="00356186"/>
    <w:rsid w:val="00374E7D"/>
    <w:rsid w:val="00375294"/>
    <w:rsid w:val="00382FC7"/>
    <w:rsid w:val="00382FEC"/>
    <w:rsid w:val="00385A90"/>
    <w:rsid w:val="003A37CF"/>
    <w:rsid w:val="003B1F3D"/>
    <w:rsid w:val="003B2118"/>
    <w:rsid w:val="00414694"/>
    <w:rsid w:val="00417FB7"/>
    <w:rsid w:val="0042783F"/>
    <w:rsid w:val="004943CF"/>
    <w:rsid w:val="004956DA"/>
    <w:rsid w:val="004D4658"/>
    <w:rsid w:val="00563E2C"/>
    <w:rsid w:val="00587869"/>
    <w:rsid w:val="00612913"/>
    <w:rsid w:val="00614908"/>
    <w:rsid w:val="00650109"/>
    <w:rsid w:val="006B0018"/>
    <w:rsid w:val="006C6352"/>
    <w:rsid w:val="006E7BAE"/>
    <w:rsid w:val="00701109"/>
    <w:rsid w:val="007372EA"/>
    <w:rsid w:val="0079129C"/>
    <w:rsid w:val="007917FE"/>
    <w:rsid w:val="007A54CC"/>
    <w:rsid w:val="007C5DE8"/>
    <w:rsid w:val="007E68C7"/>
    <w:rsid w:val="00816B78"/>
    <w:rsid w:val="00824412"/>
    <w:rsid w:val="008262A3"/>
    <w:rsid w:val="00830BBE"/>
    <w:rsid w:val="0086042A"/>
    <w:rsid w:val="008763A3"/>
    <w:rsid w:val="008813BC"/>
    <w:rsid w:val="008A153F"/>
    <w:rsid w:val="008F53F3"/>
    <w:rsid w:val="009305BF"/>
    <w:rsid w:val="00951EF6"/>
    <w:rsid w:val="0096638C"/>
    <w:rsid w:val="00971A08"/>
    <w:rsid w:val="009D45DF"/>
    <w:rsid w:val="009E0F71"/>
    <w:rsid w:val="009E7A46"/>
    <w:rsid w:val="009F436C"/>
    <w:rsid w:val="00A03153"/>
    <w:rsid w:val="00A103E3"/>
    <w:rsid w:val="00A252FA"/>
    <w:rsid w:val="00A46C72"/>
    <w:rsid w:val="00AB5E22"/>
    <w:rsid w:val="00AE2077"/>
    <w:rsid w:val="00B158E3"/>
    <w:rsid w:val="00B408F8"/>
    <w:rsid w:val="00B5078E"/>
    <w:rsid w:val="00B60EDC"/>
    <w:rsid w:val="00BD4E4C"/>
    <w:rsid w:val="00BF7644"/>
    <w:rsid w:val="00C1285B"/>
    <w:rsid w:val="00C2612E"/>
    <w:rsid w:val="00CE249F"/>
    <w:rsid w:val="00CF17D0"/>
    <w:rsid w:val="00D42339"/>
    <w:rsid w:val="00D61AC2"/>
    <w:rsid w:val="00D83B8C"/>
    <w:rsid w:val="00E12A51"/>
    <w:rsid w:val="00E777AD"/>
    <w:rsid w:val="00EA4B61"/>
    <w:rsid w:val="00EE2A6C"/>
    <w:rsid w:val="00EF6754"/>
    <w:rsid w:val="00F06BF6"/>
    <w:rsid w:val="00F1759D"/>
    <w:rsid w:val="00F20569"/>
    <w:rsid w:val="00F40FBF"/>
    <w:rsid w:val="00F47372"/>
    <w:rsid w:val="00F5034C"/>
    <w:rsid w:val="00F70D4F"/>
    <w:rsid w:val="00F76E97"/>
    <w:rsid w:val="00F84E07"/>
    <w:rsid w:val="00F874E6"/>
    <w:rsid w:val="00FC7FDA"/>
    <w:rsid w:val="00FD4F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6B6F5-BEBE-4180-92F2-572BED28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Caledonia Brown</cp:lastModifiedBy>
  <cp:revision>5</cp:revision>
  <dcterms:created xsi:type="dcterms:W3CDTF">2012-01-26T16:43:00Z</dcterms:created>
  <dcterms:modified xsi:type="dcterms:W3CDTF">2012-03-05T14:40:00Z</dcterms:modified>
</cp:coreProperties>
</file>