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34377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F4094A" w:rsidTr="00F47372">
        <w:tc>
          <w:tcPr>
            <w:tcW w:w="2269" w:type="pct"/>
          </w:tcPr>
          <w:p w:rsidR="00417FB7" w:rsidRPr="001E26DB" w:rsidRDefault="005B69C9" w:rsidP="004C5FB9">
            <w:r>
              <w:t xml:space="preserve">Le </w:t>
            </w:r>
            <w:r w:rsidR="004C5FB9">
              <w:t>1</w:t>
            </w:r>
            <w:r w:rsidR="004C5FB9" w:rsidRPr="004C5FB9">
              <w:rPr>
                <w:vertAlign w:val="superscript"/>
              </w:rPr>
              <w:t>er</w:t>
            </w:r>
            <w:r w:rsidR="004C5FB9">
              <w:t xml:space="preserve"> mars</w:t>
            </w:r>
            <w:r>
              <w:t xml:space="preserve"> 2012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4C5FB9" w:rsidP="0027081E">
            <w:pPr>
              <w:rPr>
                <w:lang w:val="en-CA"/>
              </w:rPr>
            </w:pPr>
            <w:r>
              <w:t>March 1</w:t>
            </w:r>
            <w:r w:rsidR="005B69C9">
              <w:t>, 2012</w:t>
            </w:r>
          </w:p>
        </w:tc>
      </w:tr>
      <w:tr w:rsidR="00E12A51" w:rsidRPr="00F4094A" w:rsidTr="00F47372">
        <w:tc>
          <w:tcPr>
            <w:tcW w:w="2269" w:type="pct"/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5E727F" w:rsidTr="00F47372">
        <w:tc>
          <w:tcPr>
            <w:tcW w:w="2269" w:type="pct"/>
          </w:tcPr>
          <w:p w:rsidR="00417FB7" w:rsidRPr="001E26DB" w:rsidRDefault="00417FB7" w:rsidP="004C5FB9">
            <w:pPr>
              <w:jc w:val="both"/>
            </w:pPr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Abella et Cromwell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4C5FB9">
              <w:rPr>
                <w:lang w:val="en-US"/>
              </w:rPr>
              <w:t>LeBel, Abella and Cromwell JJ.</w:t>
            </w:r>
          </w:p>
        </w:tc>
      </w:tr>
      <w:tr w:rsidR="00C2612E" w:rsidRPr="005E727F" w:rsidTr="00F47372">
        <w:tc>
          <w:tcPr>
            <w:tcW w:w="2269" w:type="pct"/>
          </w:tcPr>
          <w:p w:rsidR="00C2612E" w:rsidRPr="004C5FB9" w:rsidRDefault="00C2612E" w:rsidP="008262A3">
            <w:pPr>
              <w:rPr>
                <w:lang w:val="en-US"/>
              </w:rPr>
            </w:pPr>
          </w:p>
          <w:p w:rsidR="00C2612E" w:rsidRPr="004C5FB9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C2612E" w:rsidRPr="004C5FB9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A85736" w:rsidRDefault="003C6F22">
            <w:pPr>
              <w:pStyle w:val="SCCLsocPrefix"/>
            </w:pPr>
            <w:r>
              <w:t>ENTRE :</w:t>
            </w:r>
            <w:r>
              <w:br/>
            </w:r>
          </w:p>
          <w:p w:rsidR="00A85736" w:rsidRDefault="003C6F22">
            <w:pPr>
              <w:pStyle w:val="SCCLsocParty"/>
            </w:pPr>
            <w:r>
              <w:t xml:space="preserve">Centre hospitalier </w:t>
            </w:r>
            <w:r w:rsidR="003B779D">
              <w:t>régional du Suroît du C</w:t>
            </w:r>
            <w:r>
              <w:t xml:space="preserve">entre de santé et des services sociaux du Suroît, André Monette, en sa qualité de </w:t>
            </w:r>
            <w:r w:rsidR="003B779D">
              <w:t>d</w:t>
            </w:r>
            <w:r>
              <w:t xml:space="preserve">irecteur du service de la psychiatrie du CSSS du Suroît et Normand Kingsley, en sa qualité de </w:t>
            </w:r>
            <w:r w:rsidR="003B779D">
              <w:t>d</w:t>
            </w:r>
            <w:r>
              <w:t>irecteur des services professionnels du CSSS du Suroît</w:t>
            </w:r>
            <w:r>
              <w:br/>
            </w:r>
          </w:p>
          <w:p w:rsidR="00A85736" w:rsidRDefault="003C6F22">
            <w:pPr>
              <w:pStyle w:val="SCCLsocPartyRole"/>
            </w:pPr>
            <w:r>
              <w:t>Demandeurs</w:t>
            </w:r>
            <w:r>
              <w:br/>
            </w:r>
          </w:p>
          <w:p w:rsidR="00A85736" w:rsidRDefault="003C6F22">
            <w:pPr>
              <w:pStyle w:val="SCCLsocVersus"/>
            </w:pPr>
            <w:r>
              <w:t>- et -</w:t>
            </w:r>
            <w:r>
              <w:br/>
            </w:r>
          </w:p>
          <w:p w:rsidR="00A85736" w:rsidRDefault="003C6F22">
            <w:pPr>
              <w:pStyle w:val="SCCLsocParty"/>
            </w:pPr>
            <w:r>
              <w:t>Collectif de défense des droits de la Montérégie (C.D.D.M.), Lise Brouard et D.L.</w:t>
            </w:r>
            <w:r>
              <w:br/>
            </w:r>
          </w:p>
          <w:p w:rsidR="00A85736" w:rsidRDefault="003C6F22" w:rsidP="004C5FB9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A85736" w:rsidRDefault="003C6F22">
            <w:pPr>
              <w:pStyle w:val="SCCLsocPrefix"/>
            </w:pPr>
            <w:r>
              <w:t>BETWEEN:</w:t>
            </w:r>
            <w:r>
              <w:br/>
            </w:r>
          </w:p>
          <w:p w:rsidR="00A85736" w:rsidRDefault="003C6F22">
            <w:pPr>
              <w:pStyle w:val="SCCLsocParty"/>
            </w:pPr>
            <w:r>
              <w:t>Centre hos</w:t>
            </w:r>
            <w:r w:rsidR="003B779D">
              <w:t>pitalier régional du Suroît du C</w:t>
            </w:r>
            <w:r>
              <w:t xml:space="preserve">entre de santé et des services sociaux du Suroît, André Monette, en sa qualité de </w:t>
            </w:r>
            <w:r w:rsidR="003B779D">
              <w:t>d</w:t>
            </w:r>
            <w:r>
              <w:t xml:space="preserve">irecteur du service de la psychiatrie du CSSS du Suroît </w:t>
            </w:r>
            <w:r w:rsidR="004C5FB9">
              <w:t>and</w:t>
            </w:r>
            <w:r>
              <w:t xml:space="preserve"> Normand Kingsley, en sa qualité de </w:t>
            </w:r>
            <w:r w:rsidR="003B779D">
              <w:t>d</w:t>
            </w:r>
            <w:r>
              <w:t>irecteur des services professionnels du CSSS du Suroît</w:t>
            </w:r>
            <w:r>
              <w:br/>
            </w:r>
          </w:p>
          <w:p w:rsidR="00A85736" w:rsidRDefault="003C6F22">
            <w:pPr>
              <w:pStyle w:val="SCCLsocPartyRole"/>
            </w:pPr>
            <w:r>
              <w:t>Applicants</w:t>
            </w:r>
            <w:r>
              <w:br/>
            </w:r>
          </w:p>
          <w:p w:rsidR="00A85736" w:rsidRDefault="003C6F22">
            <w:pPr>
              <w:pStyle w:val="SCCLsocVersus"/>
            </w:pPr>
            <w:r>
              <w:t>- and -</w:t>
            </w:r>
            <w:r>
              <w:br/>
            </w:r>
          </w:p>
          <w:p w:rsidR="00A85736" w:rsidRDefault="003C6F22">
            <w:pPr>
              <w:pStyle w:val="SCCLsocParty"/>
            </w:pPr>
            <w:r>
              <w:t>Collectif de défense des droits de la Montérégie (C.D.D.M.), Lise Brouard and D.L.</w:t>
            </w:r>
            <w:r>
              <w:br/>
            </w:r>
          </w:p>
          <w:p w:rsidR="00A85736" w:rsidRDefault="003C6F22">
            <w:pPr>
              <w:pStyle w:val="SCCLsocPartyRole"/>
            </w:pPr>
            <w:r>
              <w:t>Respondents</w:t>
            </w: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5E727F" w:rsidTr="00F4737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1A0991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1A0991">
              <w:t>500-09-020284-105</w:t>
            </w:r>
            <w:r w:rsidR="001A0991" w:rsidRPr="001E26DB">
              <w:t xml:space="preserve">, </w:t>
            </w:r>
            <w:r>
              <w:t xml:space="preserve">2011 QCCA 826, </w:t>
            </w:r>
            <w:r w:rsidRPr="001E26DB">
              <w:t xml:space="preserve">daté du </w:t>
            </w:r>
            <w:r>
              <w:t>3 mai 2011</w:t>
            </w:r>
            <w:r w:rsidRPr="001E26DB">
              <w:t xml:space="preserve">, est </w:t>
            </w:r>
            <w:r w:rsidR="001A0991">
              <w:t>rejetée avec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1A0991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4C5FB9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1A0991" w:rsidRPr="004C5FB9">
              <w:rPr>
                <w:lang w:val="en-US"/>
              </w:rPr>
              <w:t>500-09-020284-105</w:t>
            </w:r>
            <w:r w:rsidR="001A0991" w:rsidRPr="001E26DB">
              <w:rPr>
                <w:lang w:val="en-CA"/>
              </w:rPr>
              <w:t xml:space="preserve">, </w:t>
            </w:r>
            <w:r w:rsidRPr="004C5FB9">
              <w:rPr>
                <w:lang w:val="en-US"/>
              </w:rPr>
              <w:t xml:space="preserve">2011 QCCA 826, </w:t>
            </w:r>
            <w:r w:rsidRPr="001E26DB">
              <w:rPr>
                <w:lang w:val="en-CA"/>
              </w:rPr>
              <w:t xml:space="preserve">dated </w:t>
            </w:r>
            <w:r w:rsidRPr="004C5FB9">
              <w:rPr>
                <w:lang w:val="en-US"/>
              </w:rPr>
              <w:t>May 3, 2011</w:t>
            </w:r>
            <w:r w:rsidR="001A0991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1A0991">
              <w:rPr>
                <w:lang w:val="en-CA"/>
              </w:rPr>
              <w:t>dismissed with costs</w:t>
            </w:r>
            <w:r w:rsidR="003B779D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Default="009F436C" w:rsidP="00417FB7">
      <w:pPr>
        <w:jc w:val="center"/>
        <w:rPr>
          <w:lang w:val="en-US"/>
        </w:rPr>
      </w:pPr>
    </w:p>
    <w:p w:rsidR="001A0991" w:rsidRDefault="001A0991" w:rsidP="00417FB7">
      <w:pPr>
        <w:jc w:val="center"/>
        <w:rPr>
          <w:lang w:val="en-US"/>
        </w:rPr>
      </w:pPr>
    </w:p>
    <w:p w:rsidR="001A0991" w:rsidRDefault="001A0991" w:rsidP="00417FB7">
      <w:pPr>
        <w:jc w:val="center"/>
        <w:rPr>
          <w:lang w:val="en-US"/>
        </w:rPr>
      </w:pPr>
    </w:p>
    <w:p w:rsidR="001A0991" w:rsidRPr="002C29B6" w:rsidRDefault="001A0991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4C5FB9" w:rsidRDefault="00655333" w:rsidP="00655333">
      <w:pPr>
        <w:jc w:val="center"/>
        <w:rPr>
          <w:lang w:val="en-US"/>
        </w:rPr>
      </w:pPr>
    </w:p>
    <w:p w:rsidR="00655333" w:rsidRPr="002C29B6" w:rsidRDefault="00655333" w:rsidP="00655333">
      <w:pPr>
        <w:jc w:val="center"/>
        <w:rPr>
          <w:lang w:val="en-US"/>
        </w:rPr>
      </w:pPr>
      <w:proofErr w:type="gramStart"/>
      <w:r w:rsidRPr="002C29B6">
        <w:rPr>
          <w:lang w:val="en-US"/>
        </w:rPr>
        <w:lastRenderedPageBreak/>
        <w:t>J.C.S.C.</w:t>
      </w:r>
      <w:proofErr w:type="gramEnd"/>
    </w:p>
    <w:p w:rsidR="009F436C" w:rsidRPr="004C5FB9" w:rsidRDefault="00655333" w:rsidP="00655333">
      <w:pPr>
        <w:jc w:val="center"/>
        <w:rPr>
          <w:lang w:val="en-US"/>
        </w:rPr>
      </w:pPr>
      <w:proofErr w:type="gramStart"/>
      <w:r w:rsidRPr="004C5FB9">
        <w:rPr>
          <w:lang w:val="en-US"/>
        </w:rPr>
        <w:t>J.S.C.C.</w:t>
      </w:r>
      <w:proofErr w:type="gramEnd"/>
    </w:p>
    <w:sectPr w:rsidR="009F436C" w:rsidRPr="004C5FB9" w:rsidSect="0040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14088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14088" w:rsidRPr="00417FB7">
      <w:rPr>
        <w:szCs w:val="24"/>
      </w:rPr>
      <w:fldChar w:fldCharType="separate"/>
    </w:r>
    <w:r w:rsidR="005E727F">
      <w:rPr>
        <w:noProof/>
        <w:szCs w:val="24"/>
      </w:rPr>
      <w:t>2</w:t>
    </w:r>
    <w:r w:rsidR="00414088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34377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14928"/>
    <w:rsid w:val="0002577E"/>
    <w:rsid w:val="0003701B"/>
    <w:rsid w:val="0004338D"/>
    <w:rsid w:val="00057FAF"/>
    <w:rsid w:val="000919B4"/>
    <w:rsid w:val="000978C2"/>
    <w:rsid w:val="000B76FF"/>
    <w:rsid w:val="000D7521"/>
    <w:rsid w:val="000E4CCE"/>
    <w:rsid w:val="00172F97"/>
    <w:rsid w:val="00195E00"/>
    <w:rsid w:val="001A0991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2E19D9"/>
    <w:rsid w:val="0031097F"/>
    <w:rsid w:val="0031165C"/>
    <w:rsid w:val="00311ACE"/>
    <w:rsid w:val="00374E7D"/>
    <w:rsid w:val="00375294"/>
    <w:rsid w:val="00382FEC"/>
    <w:rsid w:val="00385A90"/>
    <w:rsid w:val="003A37CF"/>
    <w:rsid w:val="003B1F3D"/>
    <w:rsid w:val="003B7760"/>
    <w:rsid w:val="003B779D"/>
    <w:rsid w:val="003C6F22"/>
    <w:rsid w:val="003C744C"/>
    <w:rsid w:val="003D7CE6"/>
    <w:rsid w:val="00401B64"/>
    <w:rsid w:val="00414088"/>
    <w:rsid w:val="00414694"/>
    <w:rsid w:val="00417FB7"/>
    <w:rsid w:val="00430004"/>
    <w:rsid w:val="004943CF"/>
    <w:rsid w:val="004956DA"/>
    <w:rsid w:val="004C5FB9"/>
    <w:rsid w:val="00504B7F"/>
    <w:rsid w:val="00524C94"/>
    <w:rsid w:val="00563E2C"/>
    <w:rsid w:val="005873F3"/>
    <w:rsid w:val="00587869"/>
    <w:rsid w:val="005918AD"/>
    <w:rsid w:val="005B69C9"/>
    <w:rsid w:val="005E727F"/>
    <w:rsid w:val="00614908"/>
    <w:rsid w:val="0064672C"/>
    <w:rsid w:val="00650109"/>
    <w:rsid w:val="00655333"/>
    <w:rsid w:val="006935F7"/>
    <w:rsid w:val="006C1359"/>
    <w:rsid w:val="00701109"/>
    <w:rsid w:val="007372EA"/>
    <w:rsid w:val="0076003F"/>
    <w:rsid w:val="0079129C"/>
    <w:rsid w:val="007A54CC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638C"/>
    <w:rsid w:val="00971A08"/>
    <w:rsid w:val="00995343"/>
    <w:rsid w:val="009D45DF"/>
    <w:rsid w:val="009E0F71"/>
    <w:rsid w:val="009E7A46"/>
    <w:rsid w:val="009F436C"/>
    <w:rsid w:val="00A03153"/>
    <w:rsid w:val="00A103E3"/>
    <w:rsid w:val="00A14904"/>
    <w:rsid w:val="00A85736"/>
    <w:rsid w:val="00AB5E22"/>
    <w:rsid w:val="00AE2077"/>
    <w:rsid w:val="00AF1D29"/>
    <w:rsid w:val="00B37AA5"/>
    <w:rsid w:val="00B408F8"/>
    <w:rsid w:val="00B41C8D"/>
    <w:rsid w:val="00B5078E"/>
    <w:rsid w:val="00B60EDC"/>
    <w:rsid w:val="00BA7D71"/>
    <w:rsid w:val="00BD2A96"/>
    <w:rsid w:val="00BF7644"/>
    <w:rsid w:val="00C2612E"/>
    <w:rsid w:val="00C609B7"/>
    <w:rsid w:val="00CF2E5D"/>
    <w:rsid w:val="00D26BFF"/>
    <w:rsid w:val="00D42339"/>
    <w:rsid w:val="00D61AC2"/>
    <w:rsid w:val="00D652D6"/>
    <w:rsid w:val="00DE063A"/>
    <w:rsid w:val="00E12A51"/>
    <w:rsid w:val="00E777AD"/>
    <w:rsid w:val="00E81C0B"/>
    <w:rsid w:val="00EA4B61"/>
    <w:rsid w:val="00F06BF6"/>
    <w:rsid w:val="00F1759D"/>
    <w:rsid w:val="00F4094A"/>
    <w:rsid w:val="00F40FBF"/>
    <w:rsid w:val="00F47372"/>
    <w:rsid w:val="00F5034C"/>
    <w:rsid w:val="00F6654C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3A35-E130-4877-A041-55C1C7B7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8</cp:revision>
  <dcterms:created xsi:type="dcterms:W3CDTF">2012-01-26T16:46:00Z</dcterms:created>
  <dcterms:modified xsi:type="dcterms:W3CDTF">2012-03-05T14:39:00Z</dcterms:modified>
</cp:coreProperties>
</file>