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34868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304" w:type="pct"/>
        <w:tblInd w:w="-2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61"/>
        <w:gridCol w:w="372"/>
        <w:gridCol w:w="4758"/>
      </w:tblGrid>
      <w:tr w:rsidR="00417FB7" w:rsidRPr="00F4094A" w:rsidTr="00391E96">
        <w:tc>
          <w:tcPr>
            <w:tcW w:w="2432" w:type="pct"/>
          </w:tcPr>
          <w:p w:rsidR="00417FB7" w:rsidRPr="001E26DB" w:rsidRDefault="005B69C9" w:rsidP="00575484">
            <w:r>
              <w:t xml:space="preserve">Le </w:t>
            </w:r>
            <w:r w:rsidR="00575484">
              <w:t>20</w:t>
            </w:r>
            <w:r>
              <w:t xml:space="preserve"> septembre 2012</w:t>
            </w:r>
          </w:p>
        </w:tc>
        <w:tc>
          <w:tcPr>
            <w:tcW w:w="186" w:type="pct"/>
          </w:tcPr>
          <w:p w:rsidR="00417FB7" w:rsidRPr="001E26DB" w:rsidRDefault="00417FB7" w:rsidP="00382FEC"/>
        </w:tc>
        <w:tc>
          <w:tcPr>
            <w:tcW w:w="2381" w:type="pct"/>
          </w:tcPr>
          <w:p w:rsidR="00417FB7" w:rsidRPr="001E26DB" w:rsidRDefault="005B69C9" w:rsidP="00575484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75484">
              <w:t>20</w:t>
            </w:r>
            <w:r>
              <w:t>, 2012</w:t>
            </w:r>
          </w:p>
        </w:tc>
      </w:tr>
      <w:tr w:rsidR="00E12A51" w:rsidRPr="00F4094A" w:rsidTr="00391E96">
        <w:tc>
          <w:tcPr>
            <w:tcW w:w="2432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186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81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4340A" w:rsidTr="00391E96">
        <w:tc>
          <w:tcPr>
            <w:tcW w:w="2432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Fish, Cromwell et Karakatsanis</w:t>
            </w:r>
          </w:p>
        </w:tc>
        <w:tc>
          <w:tcPr>
            <w:tcW w:w="186" w:type="pct"/>
          </w:tcPr>
          <w:p w:rsidR="00417FB7" w:rsidRPr="001E26DB" w:rsidRDefault="00417FB7" w:rsidP="00382FEC"/>
        </w:tc>
        <w:tc>
          <w:tcPr>
            <w:tcW w:w="2381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91E96">
              <w:rPr>
                <w:lang w:val="en-US"/>
              </w:rPr>
              <w:t>Fish, Cromwell and Karakatsanis JJ.</w:t>
            </w:r>
          </w:p>
        </w:tc>
      </w:tr>
      <w:tr w:rsidR="00C2612E" w:rsidRPr="0034340A" w:rsidTr="00391E96">
        <w:tc>
          <w:tcPr>
            <w:tcW w:w="2432" w:type="pct"/>
          </w:tcPr>
          <w:p w:rsidR="00C2612E" w:rsidRPr="00391E96" w:rsidRDefault="00C2612E" w:rsidP="008262A3">
            <w:pPr>
              <w:rPr>
                <w:lang w:val="en-US"/>
              </w:rPr>
            </w:pPr>
          </w:p>
        </w:tc>
        <w:tc>
          <w:tcPr>
            <w:tcW w:w="186" w:type="pct"/>
          </w:tcPr>
          <w:p w:rsidR="00C2612E" w:rsidRPr="00391E96" w:rsidRDefault="00C2612E" w:rsidP="00382FEC">
            <w:pPr>
              <w:rPr>
                <w:lang w:val="en-US"/>
              </w:rPr>
            </w:pPr>
          </w:p>
        </w:tc>
        <w:tc>
          <w:tcPr>
            <w:tcW w:w="2381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391E96">
        <w:tc>
          <w:tcPr>
            <w:tcW w:w="2432" w:type="pct"/>
            <w:vAlign w:val="center"/>
          </w:tcPr>
          <w:p w:rsidR="0044622B" w:rsidRDefault="00391E96">
            <w:pPr>
              <w:pStyle w:val="SCCLsocPrefix"/>
            </w:pPr>
            <w:r>
              <w:t>ENTRE :</w:t>
            </w:r>
            <w:r>
              <w:br/>
            </w:r>
          </w:p>
          <w:p w:rsidR="0044622B" w:rsidRDefault="00391E96">
            <w:pPr>
              <w:pStyle w:val="SCCLsocParty"/>
            </w:pPr>
            <w:r>
              <w:t>Diane Maynard</w:t>
            </w:r>
            <w:r>
              <w:br/>
            </w:r>
          </w:p>
          <w:p w:rsidR="0044622B" w:rsidRDefault="00391E96">
            <w:pPr>
              <w:pStyle w:val="SCCLsocPartyRole"/>
            </w:pPr>
            <w:r>
              <w:t>Demanderesse</w:t>
            </w:r>
            <w:r>
              <w:br/>
            </w:r>
          </w:p>
          <w:p w:rsidR="0044622B" w:rsidRDefault="00391E96">
            <w:pPr>
              <w:pStyle w:val="SCCLsocVersus"/>
            </w:pPr>
            <w:r>
              <w:t>- et -</w:t>
            </w:r>
            <w:r>
              <w:br/>
            </w:r>
          </w:p>
          <w:p w:rsidR="00391E96" w:rsidRDefault="00391E96">
            <w:pPr>
              <w:pStyle w:val="SCCLsocParty"/>
            </w:pPr>
            <w:r>
              <w:t xml:space="preserve">Société de l'assurance automobile du Québec, </w:t>
            </w:r>
          </w:p>
          <w:p w:rsidR="0044622B" w:rsidRDefault="00391E96">
            <w:pPr>
              <w:pStyle w:val="SCCLsocParty"/>
            </w:pPr>
            <w:r>
              <w:t>et Tribunal administratif du Québec</w:t>
            </w:r>
            <w:r>
              <w:br/>
            </w:r>
          </w:p>
          <w:p w:rsidR="0044622B" w:rsidRDefault="00391E96" w:rsidP="00391E96">
            <w:pPr>
              <w:pStyle w:val="SCCLsocPartyRole"/>
            </w:pPr>
            <w:r>
              <w:t>Intimés</w:t>
            </w:r>
          </w:p>
        </w:tc>
        <w:tc>
          <w:tcPr>
            <w:tcW w:w="186" w:type="pct"/>
            <w:vAlign w:val="center"/>
          </w:tcPr>
          <w:p w:rsidR="00824412" w:rsidRPr="00391E96" w:rsidRDefault="00824412" w:rsidP="00375294"/>
        </w:tc>
        <w:tc>
          <w:tcPr>
            <w:tcW w:w="2381" w:type="pct"/>
            <w:vAlign w:val="center"/>
          </w:tcPr>
          <w:p w:rsidR="0044622B" w:rsidRPr="00391E96" w:rsidRDefault="00391E96">
            <w:pPr>
              <w:pStyle w:val="SCCLsocPrefix"/>
              <w:rPr>
                <w:lang w:val="en-US"/>
              </w:rPr>
            </w:pPr>
            <w:r w:rsidRPr="00391E96">
              <w:rPr>
                <w:lang w:val="en-US"/>
              </w:rPr>
              <w:t>BETWEEN:</w:t>
            </w:r>
            <w:r w:rsidRPr="00391E96">
              <w:rPr>
                <w:lang w:val="en-US"/>
              </w:rPr>
              <w:br/>
            </w:r>
          </w:p>
          <w:p w:rsidR="0044622B" w:rsidRPr="00391E96" w:rsidRDefault="00391E96">
            <w:pPr>
              <w:pStyle w:val="SCCLsocParty"/>
              <w:rPr>
                <w:lang w:val="en-US"/>
              </w:rPr>
            </w:pPr>
            <w:r w:rsidRPr="00391E96">
              <w:rPr>
                <w:lang w:val="en-US"/>
              </w:rPr>
              <w:t>Diane Maynard</w:t>
            </w:r>
            <w:r w:rsidRPr="00391E96">
              <w:rPr>
                <w:lang w:val="en-US"/>
              </w:rPr>
              <w:br/>
            </w:r>
          </w:p>
          <w:p w:rsidR="0044622B" w:rsidRPr="00391E96" w:rsidRDefault="00391E96">
            <w:pPr>
              <w:pStyle w:val="SCCLsocPartyRole"/>
              <w:rPr>
                <w:lang w:val="en-US"/>
              </w:rPr>
            </w:pPr>
            <w:r w:rsidRPr="00391E96">
              <w:rPr>
                <w:lang w:val="en-US"/>
              </w:rPr>
              <w:t>Applicant</w:t>
            </w:r>
            <w:r w:rsidRPr="00391E96">
              <w:rPr>
                <w:lang w:val="en-US"/>
              </w:rPr>
              <w:br/>
            </w:r>
          </w:p>
          <w:p w:rsidR="0044622B" w:rsidRPr="00391E96" w:rsidRDefault="00391E96">
            <w:pPr>
              <w:pStyle w:val="SCCLsocVersus"/>
              <w:rPr>
                <w:lang w:val="en-US"/>
              </w:rPr>
            </w:pPr>
            <w:r w:rsidRPr="00391E96">
              <w:rPr>
                <w:lang w:val="en-US"/>
              </w:rPr>
              <w:t>- and -</w:t>
            </w:r>
            <w:r w:rsidRPr="00391E96">
              <w:rPr>
                <w:lang w:val="en-US"/>
              </w:rPr>
              <w:br/>
            </w:r>
          </w:p>
          <w:p w:rsidR="0044622B" w:rsidRDefault="00391E96">
            <w:pPr>
              <w:pStyle w:val="SCCLsocParty"/>
            </w:pPr>
            <w:r>
              <w:t>Société de l'assurance automobile du Québec, and Tribunal administratif du Québec</w:t>
            </w:r>
            <w:r>
              <w:br/>
            </w:r>
          </w:p>
          <w:p w:rsidR="0044622B" w:rsidRDefault="00391E96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391E96">
        <w:tc>
          <w:tcPr>
            <w:tcW w:w="2432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18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81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340A" w:rsidTr="00391E96">
        <w:tc>
          <w:tcPr>
            <w:tcW w:w="2432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91E96" w:rsidP="00575484">
            <w:pPr>
              <w:jc w:val="both"/>
            </w:pPr>
            <w:r w:rsidRPr="00391E96">
              <w:t>La requête en prorogation du délai de signification et de dépôt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500-09-021997-119</w:t>
            </w:r>
            <w:r w:rsidR="0027081E" w:rsidRPr="001E26DB">
              <w:t>,</w:t>
            </w:r>
            <w:r w:rsidR="00575484">
              <w:t xml:space="preserve"> 2012 QCCA 161, </w:t>
            </w:r>
            <w:r w:rsidR="0027081E" w:rsidRPr="001E26DB">
              <w:t xml:space="preserve">daté du </w:t>
            </w:r>
            <w:r w:rsidR="0027081E">
              <w:t>23 janvier 2012</w:t>
            </w:r>
            <w:r w:rsidR="0027081E" w:rsidRPr="001E26DB">
              <w:t xml:space="preserve">, est </w:t>
            </w:r>
            <w:r>
              <w:t>rejetée avec dépens en faveur de l</w:t>
            </w:r>
            <w:r w:rsidR="00575484">
              <w:t xml:space="preserve">’intimée </w:t>
            </w:r>
            <w:r>
              <w:t>Société de l’assurance automobile du Québec.</w:t>
            </w:r>
          </w:p>
        </w:tc>
        <w:tc>
          <w:tcPr>
            <w:tcW w:w="18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81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91E96" w:rsidP="00575484">
            <w:pPr>
              <w:jc w:val="both"/>
              <w:rPr>
                <w:lang w:val="en-CA"/>
              </w:rPr>
            </w:pPr>
            <w:r w:rsidRPr="00391E96">
              <w:rPr>
                <w:lang w:val="en-US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91E9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91E96">
              <w:rPr>
                <w:lang w:val="en-US"/>
              </w:rPr>
              <w:t>500-09-021997-119</w:t>
            </w:r>
            <w:r w:rsidR="0027081E" w:rsidRPr="001E26DB">
              <w:rPr>
                <w:lang w:val="en-CA"/>
              </w:rPr>
              <w:t>,</w:t>
            </w:r>
            <w:r w:rsidR="00575484">
              <w:rPr>
                <w:lang w:val="en-CA"/>
              </w:rPr>
              <w:t xml:space="preserve"> 2012 QCCA 161,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391E96">
              <w:rPr>
                <w:lang w:val="en-US"/>
              </w:rPr>
              <w:t>January 23, 2012</w:t>
            </w:r>
            <w:r w:rsidR="00575484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 xml:space="preserve">dismissed with costs </w:t>
            </w:r>
            <w:r w:rsidR="00575484">
              <w:rPr>
                <w:lang w:val="en-CA"/>
              </w:rPr>
              <w:t xml:space="preserve">to the respondent </w:t>
            </w:r>
            <w:proofErr w:type="spellStart"/>
            <w:r>
              <w:rPr>
                <w:lang w:val="en-CA"/>
              </w:rPr>
              <w:t>Société</w:t>
            </w:r>
            <w:proofErr w:type="spellEnd"/>
            <w:r>
              <w:rPr>
                <w:lang w:val="en-CA"/>
              </w:rPr>
              <w:t xml:space="preserve"> de </w:t>
            </w:r>
            <w:proofErr w:type="spellStart"/>
            <w:r>
              <w:rPr>
                <w:lang w:val="en-CA"/>
              </w:rPr>
              <w:t>l’assurance</w:t>
            </w:r>
            <w:proofErr w:type="spellEnd"/>
            <w:r>
              <w:rPr>
                <w:lang w:val="en-CA"/>
              </w:rPr>
              <w:t xml:space="preserve"> automobile du Québec.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391E96" w:rsidRDefault="00655333" w:rsidP="00655333">
      <w:pPr>
        <w:jc w:val="center"/>
        <w:rPr>
          <w:lang w:val="en-US"/>
        </w:rPr>
      </w:pPr>
    </w:p>
    <w:p w:rsidR="00655333" w:rsidRPr="00391E96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91E96">
      <w:pPr>
        <w:jc w:val="center"/>
        <w:rPr>
          <w:lang w:val="en-US"/>
        </w:rPr>
      </w:pPr>
      <w:proofErr w:type="gramStart"/>
      <w:r w:rsidRPr="00391E96">
        <w:rPr>
          <w:lang w:val="en-US"/>
        </w:rPr>
        <w:t>J.S.C.C.</w:t>
      </w:r>
      <w:proofErr w:type="gramEnd"/>
      <w:r w:rsidR="00391E96" w:rsidRPr="002C29B6">
        <w:rPr>
          <w:lang w:val="en-US"/>
        </w:rPr>
        <w:t xml:space="preserve"> </w:t>
      </w:r>
    </w:p>
    <w:sectPr w:rsidR="009F436C" w:rsidRPr="002C29B6" w:rsidSect="00391E96">
      <w:headerReference w:type="default" r:id="rId8"/>
      <w:pgSz w:w="12240" w:h="15840"/>
      <w:pgMar w:top="1440" w:right="1440" w:bottom="90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09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0975" w:rsidRPr="00417FB7">
      <w:rPr>
        <w:szCs w:val="24"/>
      </w:rPr>
      <w:fldChar w:fldCharType="separate"/>
    </w:r>
    <w:r w:rsidR="00391E96">
      <w:rPr>
        <w:noProof/>
        <w:szCs w:val="24"/>
      </w:rPr>
      <w:t>4</w:t>
    </w:r>
    <w:r w:rsidR="001109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34868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1097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4340A"/>
    <w:rsid w:val="00374E7D"/>
    <w:rsid w:val="00375294"/>
    <w:rsid w:val="00382FEC"/>
    <w:rsid w:val="00385A90"/>
    <w:rsid w:val="00391E96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622B"/>
    <w:rsid w:val="004943CF"/>
    <w:rsid w:val="004956DA"/>
    <w:rsid w:val="00504B7F"/>
    <w:rsid w:val="00524C94"/>
    <w:rsid w:val="00563E2C"/>
    <w:rsid w:val="00575484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C6B7-8C7D-4333-AA13-0DC4988F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2012-09-04T14:13:00Z</dcterms:created>
  <dcterms:modified xsi:type="dcterms:W3CDTF">2012-09-24T14:50:00Z</dcterms:modified>
</cp:coreProperties>
</file>