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34860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304" w:type="pct"/>
        <w:tblInd w:w="-15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951"/>
        <w:gridCol w:w="194"/>
        <w:gridCol w:w="4846"/>
      </w:tblGrid>
      <w:tr w:rsidR="00417FB7" w:rsidRPr="00F4094A" w:rsidTr="00A05EDB">
        <w:tc>
          <w:tcPr>
            <w:tcW w:w="2478" w:type="pct"/>
          </w:tcPr>
          <w:p w:rsidR="00417FB7" w:rsidRPr="001E26DB" w:rsidRDefault="005B69C9" w:rsidP="00A05EDB">
            <w:r>
              <w:t xml:space="preserve">Le </w:t>
            </w:r>
            <w:r w:rsidR="00A05EDB">
              <w:t>20</w:t>
            </w:r>
            <w:r>
              <w:t xml:space="preserve"> septembre 2012</w:t>
            </w:r>
          </w:p>
        </w:tc>
        <w:tc>
          <w:tcPr>
            <w:tcW w:w="97" w:type="pct"/>
          </w:tcPr>
          <w:p w:rsidR="00417FB7" w:rsidRPr="001E26DB" w:rsidRDefault="00417FB7" w:rsidP="00382FEC"/>
        </w:tc>
        <w:tc>
          <w:tcPr>
            <w:tcW w:w="2426" w:type="pct"/>
          </w:tcPr>
          <w:p w:rsidR="00417FB7" w:rsidRPr="001E26DB" w:rsidRDefault="005B69C9" w:rsidP="00A05EDB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A05EDB">
              <w:t>20</w:t>
            </w:r>
            <w:r>
              <w:t>, 2012</w:t>
            </w:r>
          </w:p>
        </w:tc>
      </w:tr>
      <w:tr w:rsidR="00E12A51" w:rsidRPr="00F4094A" w:rsidTr="00A05EDB">
        <w:tc>
          <w:tcPr>
            <w:tcW w:w="2478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97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426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F57C9" w:rsidTr="00A05EDB">
        <w:tc>
          <w:tcPr>
            <w:tcW w:w="2478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Fish, Cromwell et Karakatsanis</w:t>
            </w:r>
          </w:p>
        </w:tc>
        <w:tc>
          <w:tcPr>
            <w:tcW w:w="97" w:type="pct"/>
          </w:tcPr>
          <w:p w:rsidR="00417FB7" w:rsidRPr="001E26DB" w:rsidRDefault="00417FB7" w:rsidP="00382FEC"/>
        </w:tc>
        <w:tc>
          <w:tcPr>
            <w:tcW w:w="2426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05EDB">
              <w:rPr>
                <w:lang w:val="en-US"/>
              </w:rPr>
              <w:t>Fish, Cromwell and Karakatsanis JJ.</w:t>
            </w:r>
          </w:p>
        </w:tc>
      </w:tr>
      <w:tr w:rsidR="00C2612E" w:rsidRPr="005F57C9" w:rsidTr="00A05EDB">
        <w:tc>
          <w:tcPr>
            <w:tcW w:w="2478" w:type="pct"/>
          </w:tcPr>
          <w:p w:rsidR="00C2612E" w:rsidRPr="00A05EDB" w:rsidRDefault="00C2612E" w:rsidP="008262A3">
            <w:pPr>
              <w:rPr>
                <w:lang w:val="en-US"/>
              </w:rPr>
            </w:pPr>
          </w:p>
        </w:tc>
        <w:tc>
          <w:tcPr>
            <w:tcW w:w="97" w:type="pct"/>
          </w:tcPr>
          <w:p w:rsidR="00C2612E" w:rsidRPr="00A05EDB" w:rsidRDefault="00C2612E" w:rsidP="00382FEC">
            <w:pPr>
              <w:rPr>
                <w:lang w:val="en-US"/>
              </w:rPr>
            </w:pPr>
          </w:p>
        </w:tc>
        <w:tc>
          <w:tcPr>
            <w:tcW w:w="2426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A05EDB">
        <w:tc>
          <w:tcPr>
            <w:tcW w:w="2478" w:type="pct"/>
            <w:vAlign w:val="center"/>
          </w:tcPr>
          <w:p w:rsidR="00ED1247" w:rsidRDefault="00A05EDB">
            <w:pPr>
              <w:pStyle w:val="SCCLsocPrefix"/>
            </w:pPr>
            <w:r>
              <w:t>ENTRE :</w:t>
            </w:r>
            <w:r>
              <w:br/>
            </w:r>
          </w:p>
          <w:p w:rsidR="00ED1247" w:rsidRDefault="00A05EDB">
            <w:pPr>
              <w:pStyle w:val="SCCLsocParty"/>
            </w:pPr>
            <w:r>
              <w:t>Gaston Marcoux</w:t>
            </w:r>
            <w:r>
              <w:br/>
            </w:r>
          </w:p>
          <w:p w:rsidR="00ED1247" w:rsidRDefault="00A05EDB">
            <w:pPr>
              <w:pStyle w:val="SCCLsocPartyRole"/>
            </w:pPr>
            <w:r>
              <w:t>Demandeur</w:t>
            </w:r>
            <w:r>
              <w:br/>
            </w:r>
          </w:p>
          <w:p w:rsidR="00ED1247" w:rsidRDefault="00A05EDB">
            <w:pPr>
              <w:pStyle w:val="SCCLsocVersus"/>
            </w:pPr>
            <w:r>
              <w:t>- et -</w:t>
            </w:r>
            <w:r>
              <w:br/>
            </w:r>
          </w:p>
          <w:p w:rsidR="00A05EDB" w:rsidRDefault="00A05EDB">
            <w:pPr>
              <w:pStyle w:val="SCCLsocParty"/>
            </w:pPr>
            <w:r>
              <w:t>Terrasse</w:t>
            </w:r>
            <w:r w:rsidR="00C41FC5">
              <w:t xml:space="preserve">ment portugais </w:t>
            </w:r>
            <w:proofErr w:type="spellStart"/>
            <w:r w:rsidR="00C41FC5">
              <w:t>inc</w:t>
            </w:r>
            <w:proofErr w:type="spellEnd"/>
            <w:r w:rsidR="00C41FC5">
              <w:t>, Manuel José</w:t>
            </w:r>
            <w:r>
              <w:t xml:space="preserve"> et</w:t>
            </w:r>
          </w:p>
          <w:p w:rsidR="00ED1247" w:rsidRDefault="00A05EDB">
            <w:pPr>
              <w:pStyle w:val="SCCLsocParty"/>
            </w:pPr>
            <w:r>
              <w:t>L</w:t>
            </w:r>
            <w:r w:rsidR="00C41FC5">
              <w:t>a compagnie de parterres portug</w:t>
            </w:r>
            <w:r>
              <w:t xml:space="preserve">ais </w:t>
            </w:r>
            <w:proofErr w:type="spellStart"/>
            <w:r>
              <w:t>ltée</w:t>
            </w:r>
            <w:proofErr w:type="spellEnd"/>
            <w:r>
              <w:t xml:space="preserve"> (Parterres </w:t>
            </w:r>
            <w:proofErr w:type="spellStart"/>
            <w:r>
              <w:t>ltée</w:t>
            </w:r>
            <w:proofErr w:type="spellEnd"/>
            <w:r>
              <w:t>)</w:t>
            </w:r>
            <w:r>
              <w:br/>
            </w:r>
          </w:p>
          <w:p w:rsidR="00ED1247" w:rsidRDefault="00A05EDB" w:rsidP="00A05EDB">
            <w:pPr>
              <w:pStyle w:val="SCCLsocPartyRole"/>
            </w:pPr>
            <w:r>
              <w:t>Intimés</w:t>
            </w:r>
          </w:p>
        </w:tc>
        <w:tc>
          <w:tcPr>
            <w:tcW w:w="97" w:type="pct"/>
            <w:vAlign w:val="center"/>
          </w:tcPr>
          <w:p w:rsidR="00824412" w:rsidRPr="00A05EDB" w:rsidRDefault="00824412" w:rsidP="00375294"/>
        </w:tc>
        <w:tc>
          <w:tcPr>
            <w:tcW w:w="2426" w:type="pct"/>
            <w:vAlign w:val="center"/>
          </w:tcPr>
          <w:p w:rsidR="00ED1247" w:rsidRPr="00A05EDB" w:rsidRDefault="00A05EDB">
            <w:pPr>
              <w:pStyle w:val="SCCLsocPrefix"/>
              <w:rPr>
                <w:lang w:val="en-US"/>
              </w:rPr>
            </w:pPr>
            <w:r w:rsidRPr="00A05EDB">
              <w:rPr>
                <w:lang w:val="en-US"/>
              </w:rPr>
              <w:t>BETWEEN:</w:t>
            </w:r>
            <w:r w:rsidRPr="00A05EDB">
              <w:rPr>
                <w:lang w:val="en-US"/>
              </w:rPr>
              <w:br/>
            </w:r>
          </w:p>
          <w:p w:rsidR="00ED1247" w:rsidRPr="00A05EDB" w:rsidRDefault="00A05EDB">
            <w:pPr>
              <w:pStyle w:val="SCCLsocParty"/>
              <w:rPr>
                <w:lang w:val="en-US"/>
              </w:rPr>
            </w:pPr>
            <w:r w:rsidRPr="00A05EDB">
              <w:rPr>
                <w:lang w:val="en-US"/>
              </w:rPr>
              <w:t xml:space="preserve">Gaston </w:t>
            </w:r>
            <w:proofErr w:type="spellStart"/>
            <w:r w:rsidRPr="00A05EDB">
              <w:rPr>
                <w:lang w:val="en-US"/>
              </w:rPr>
              <w:t>Marcoux</w:t>
            </w:r>
            <w:proofErr w:type="spellEnd"/>
            <w:r w:rsidRPr="00A05EDB">
              <w:rPr>
                <w:lang w:val="en-US"/>
              </w:rPr>
              <w:br/>
            </w:r>
          </w:p>
          <w:p w:rsidR="00ED1247" w:rsidRPr="00A05EDB" w:rsidRDefault="00A05EDB">
            <w:pPr>
              <w:pStyle w:val="SCCLsocPartyRole"/>
              <w:rPr>
                <w:lang w:val="en-US"/>
              </w:rPr>
            </w:pPr>
            <w:r w:rsidRPr="00A05EDB">
              <w:rPr>
                <w:lang w:val="en-US"/>
              </w:rPr>
              <w:t>Applicant</w:t>
            </w:r>
            <w:r w:rsidRPr="00A05EDB">
              <w:rPr>
                <w:lang w:val="en-US"/>
              </w:rPr>
              <w:br/>
            </w:r>
          </w:p>
          <w:p w:rsidR="00ED1247" w:rsidRPr="00A05EDB" w:rsidRDefault="00A05EDB">
            <w:pPr>
              <w:pStyle w:val="SCCLsocVersus"/>
              <w:rPr>
                <w:lang w:val="en-US"/>
              </w:rPr>
            </w:pPr>
            <w:r w:rsidRPr="00A05EDB">
              <w:rPr>
                <w:lang w:val="en-US"/>
              </w:rPr>
              <w:t>- and -</w:t>
            </w:r>
            <w:r w:rsidRPr="00A05EDB">
              <w:rPr>
                <w:lang w:val="en-US"/>
              </w:rPr>
              <w:br/>
            </w:r>
          </w:p>
          <w:p w:rsidR="00A05EDB" w:rsidRDefault="00A05EDB">
            <w:pPr>
              <w:pStyle w:val="SCCLsocParty"/>
            </w:pPr>
            <w:r>
              <w:t>Terrasse</w:t>
            </w:r>
            <w:r w:rsidR="00C41FC5">
              <w:t xml:space="preserve">ment portugais </w:t>
            </w:r>
            <w:proofErr w:type="spellStart"/>
            <w:r w:rsidR="00C41FC5">
              <w:t>inc</w:t>
            </w:r>
            <w:proofErr w:type="spellEnd"/>
            <w:r w:rsidR="00C41FC5">
              <w:t>, Manuel José</w:t>
            </w:r>
            <w:r>
              <w:t xml:space="preserve"> and </w:t>
            </w:r>
          </w:p>
          <w:p w:rsidR="00ED1247" w:rsidRDefault="00A05EDB">
            <w:pPr>
              <w:pStyle w:val="SCCLsocParty"/>
            </w:pPr>
            <w:r>
              <w:t>La compagnie de parterr</w:t>
            </w:r>
            <w:r w:rsidR="00C41FC5">
              <w:t>es portug</w:t>
            </w:r>
            <w:r>
              <w:t xml:space="preserve">ais </w:t>
            </w:r>
            <w:proofErr w:type="spellStart"/>
            <w:r>
              <w:t>ltée</w:t>
            </w:r>
            <w:proofErr w:type="spellEnd"/>
            <w:r>
              <w:t xml:space="preserve"> (Parterres </w:t>
            </w:r>
            <w:proofErr w:type="spellStart"/>
            <w:r>
              <w:t>ltée</w:t>
            </w:r>
            <w:proofErr w:type="spellEnd"/>
            <w:r>
              <w:t>)</w:t>
            </w:r>
            <w:r>
              <w:br/>
            </w:r>
          </w:p>
          <w:p w:rsidR="00ED1247" w:rsidRDefault="00A05EDB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A05EDB">
        <w:tc>
          <w:tcPr>
            <w:tcW w:w="2478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97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26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F57C9" w:rsidTr="00A05EDB">
        <w:tc>
          <w:tcPr>
            <w:tcW w:w="2478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41FC5" w:rsidP="00EB3A5B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200-09-007511-113, 2012 QCCA 624</w:t>
            </w:r>
            <w:r w:rsidR="0027081E" w:rsidRPr="001E26DB">
              <w:t xml:space="preserve">, daté du </w:t>
            </w:r>
            <w:r w:rsidR="0027081E">
              <w:t>5 avril 2012</w:t>
            </w:r>
            <w:r w:rsidR="0027081E" w:rsidRPr="001E26DB">
              <w:t xml:space="preserve">, est </w:t>
            </w:r>
            <w:r w:rsidR="00A05EDB">
              <w:t>rejetée avec dépens.</w:t>
            </w:r>
          </w:p>
        </w:tc>
        <w:tc>
          <w:tcPr>
            <w:tcW w:w="97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426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41FC5" w:rsidP="00A05ED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an extension of time to serve and file the application f</w:t>
            </w:r>
            <w:r w:rsidR="00EB3A5B">
              <w:rPr>
                <w:lang w:val="en-CA"/>
              </w:rPr>
              <w:t xml:space="preserve">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05EDB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05EDB">
              <w:rPr>
                <w:lang w:val="en-US"/>
              </w:rPr>
              <w:t>200-09-007511-113, 2012 QCCA 624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A05EDB">
              <w:rPr>
                <w:lang w:val="en-US"/>
              </w:rPr>
              <w:t>April 5, 2012</w:t>
            </w:r>
            <w:r w:rsidR="00A05EDB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A05EDB">
              <w:rPr>
                <w:lang w:val="en-CA"/>
              </w:rPr>
              <w:t xml:space="preserve">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05EDB" w:rsidRPr="002C29B6" w:rsidRDefault="00A05EDB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05EDB">
      <w:pPr>
        <w:jc w:val="center"/>
        <w:rPr>
          <w:lang w:val="en-US"/>
        </w:rPr>
      </w:pPr>
      <w:proofErr w:type="gramStart"/>
      <w:r w:rsidRPr="00A05EDB">
        <w:rPr>
          <w:lang w:val="en-US"/>
        </w:rPr>
        <w:t>J.S.C.C.</w:t>
      </w:r>
      <w:proofErr w:type="gramEnd"/>
    </w:p>
    <w:sectPr w:rsidR="009F436C" w:rsidRPr="002C29B6" w:rsidSect="00A05EDB">
      <w:headerReference w:type="default" r:id="rId8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37A5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37A55" w:rsidRPr="00417FB7">
      <w:rPr>
        <w:szCs w:val="24"/>
      </w:rPr>
      <w:fldChar w:fldCharType="separate"/>
    </w:r>
    <w:r w:rsidR="003C4B73">
      <w:rPr>
        <w:noProof/>
        <w:szCs w:val="24"/>
      </w:rPr>
      <w:t>2</w:t>
    </w:r>
    <w:r w:rsidR="00537A5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34860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4B73"/>
    <w:rsid w:val="003C744C"/>
    <w:rsid w:val="003D7CE6"/>
    <w:rsid w:val="00401B64"/>
    <w:rsid w:val="00414694"/>
    <w:rsid w:val="00417FB7"/>
    <w:rsid w:val="00430004"/>
    <w:rsid w:val="00486EC4"/>
    <w:rsid w:val="004943CF"/>
    <w:rsid w:val="004956DA"/>
    <w:rsid w:val="00504B7F"/>
    <w:rsid w:val="00524C94"/>
    <w:rsid w:val="00537A55"/>
    <w:rsid w:val="00563E2C"/>
    <w:rsid w:val="005873F3"/>
    <w:rsid w:val="00587869"/>
    <w:rsid w:val="005918AD"/>
    <w:rsid w:val="005B69C9"/>
    <w:rsid w:val="005F57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7DB4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05EDB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41FC5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B3A5B"/>
    <w:rsid w:val="00ED1247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F406-1DF8-4EF7-8EB5-A214EACA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2012-09-18T19:12:00Z</cp:lastPrinted>
  <dcterms:created xsi:type="dcterms:W3CDTF">2012-09-18T19:12:00Z</dcterms:created>
  <dcterms:modified xsi:type="dcterms:W3CDTF">2012-09-24T14:50:00Z</dcterms:modified>
</cp:coreProperties>
</file>