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34678</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4055E" w:rsidP="008262A3">
            <w:r>
              <w:t>June 28</w:t>
            </w:r>
            <w:r w:rsidR="00EE2A6C">
              <w:t>, 2012</w:t>
            </w:r>
          </w:p>
        </w:tc>
        <w:tc>
          <w:tcPr>
            <w:tcW w:w="381" w:type="pct"/>
          </w:tcPr>
          <w:p w:rsidR="00417FB7" w:rsidRPr="006E7BAE" w:rsidRDefault="00417FB7" w:rsidP="00382FEC"/>
        </w:tc>
        <w:tc>
          <w:tcPr>
            <w:tcW w:w="2350" w:type="pct"/>
          </w:tcPr>
          <w:p w:rsidR="00417FB7" w:rsidRPr="00D83B8C" w:rsidRDefault="0064055E" w:rsidP="00816B78">
            <w:pPr>
              <w:rPr>
                <w:lang w:val="en-US"/>
              </w:rPr>
            </w:pPr>
            <w:r>
              <w:t>Le 28</w:t>
            </w:r>
            <w:r w:rsidR="00EE2A6C">
              <w:t xml:space="preserve"> </w:t>
            </w:r>
            <w:proofErr w:type="spellStart"/>
            <w:r w:rsidR="00EE2A6C">
              <w:t>juin</w:t>
            </w:r>
            <w:proofErr w:type="spellEnd"/>
            <w:r w:rsidR="00EE2A6C">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5C79F8"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64055E">
              <w:rPr>
                <w:lang w:val="fr-CA"/>
              </w:rPr>
              <w:t>La juge en chef McLachlin et les juges Rothstein et Moldaver</w:t>
            </w:r>
          </w:p>
        </w:tc>
      </w:tr>
      <w:tr w:rsidR="00C2612E" w:rsidRPr="0064055E" w:rsidTr="00F47372">
        <w:tc>
          <w:tcPr>
            <w:tcW w:w="2269" w:type="pct"/>
          </w:tcPr>
          <w:p w:rsidR="00C2612E" w:rsidRPr="0064055E" w:rsidRDefault="00C2612E" w:rsidP="008262A3">
            <w:pPr>
              <w:rPr>
                <w:lang w:val="fr-CA"/>
              </w:rPr>
            </w:pPr>
          </w:p>
          <w:p w:rsidR="0064055E" w:rsidRDefault="0064055E" w:rsidP="0064055E">
            <w:pPr>
              <w:pStyle w:val="SCCLsocPrefix"/>
            </w:pPr>
            <w:r>
              <w:t>BETWEEN:</w:t>
            </w:r>
            <w:r>
              <w:br/>
            </w:r>
          </w:p>
          <w:p w:rsidR="0064055E" w:rsidRDefault="0064055E" w:rsidP="0064055E">
            <w:pPr>
              <w:pStyle w:val="SCCLsocParty"/>
            </w:pPr>
            <w:r>
              <w:t xml:space="preserve">Sable Offshore Energy Inc., as agent for and on behalf of the Working Interest Owners of the Sable Offshore Energy Project, Exxon Mobil Canada Properties, Shell Canada Limited, Imperial Oil Resources, </w:t>
            </w:r>
            <w:proofErr w:type="spellStart"/>
            <w:r>
              <w:t>Mosbacher</w:t>
            </w:r>
            <w:proofErr w:type="spellEnd"/>
            <w:r>
              <w:t xml:space="preserve"> Operating Ltd., </w:t>
            </w:r>
            <w:proofErr w:type="spellStart"/>
            <w:r>
              <w:t>Pengrowth</w:t>
            </w:r>
            <w:proofErr w:type="spellEnd"/>
            <w:r>
              <w:t xml:space="preserve"> Corporation and Exxon</w:t>
            </w:r>
            <w:r w:rsidR="00F60809">
              <w:t xml:space="preserve"> </w:t>
            </w:r>
            <w:r>
              <w:t>Mobil Canada Properties, as operator of the Sable Offshore Energy Project</w:t>
            </w:r>
            <w:r>
              <w:br/>
            </w:r>
          </w:p>
          <w:p w:rsidR="0064055E" w:rsidRDefault="0064055E" w:rsidP="0064055E">
            <w:pPr>
              <w:pStyle w:val="SCCLsocPartyRole"/>
            </w:pPr>
            <w:r>
              <w:t>Applicants</w:t>
            </w:r>
            <w:r>
              <w:br/>
            </w:r>
          </w:p>
          <w:p w:rsidR="0064055E" w:rsidRDefault="0064055E" w:rsidP="0064055E">
            <w:pPr>
              <w:pStyle w:val="SCCLsocVersus"/>
            </w:pPr>
            <w:r>
              <w:t>- and -</w:t>
            </w:r>
            <w:r>
              <w:br/>
            </w:r>
          </w:p>
          <w:p w:rsidR="0064055E" w:rsidRDefault="0064055E" w:rsidP="0064055E">
            <w:pPr>
              <w:pStyle w:val="SCCLsocParty"/>
            </w:pPr>
            <w:proofErr w:type="spellStart"/>
            <w:r>
              <w:t>Ameron</w:t>
            </w:r>
            <w:proofErr w:type="spellEnd"/>
            <w:r>
              <w:t xml:space="preserve"> International Corporation, </w:t>
            </w:r>
            <w:proofErr w:type="spellStart"/>
            <w:r>
              <w:t>Ameron</w:t>
            </w:r>
            <w:proofErr w:type="spellEnd"/>
            <w:r>
              <w:t xml:space="preserve"> B.V., </w:t>
            </w:r>
            <w:proofErr w:type="spellStart"/>
            <w:r>
              <w:t>Allcolor</w:t>
            </w:r>
            <w:proofErr w:type="spellEnd"/>
            <w:r>
              <w:t xml:space="preserve"> Paint Limited, </w:t>
            </w:r>
            <w:proofErr w:type="spellStart"/>
            <w:r>
              <w:t>Amercoat</w:t>
            </w:r>
            <w:proofErr w:type="spellEnd"/>
            <w:r>
              <w:t xml:space="preserve"> Canada, </w:t>
            </w:r>
            <w:proofErr w:type="spellStart"/>
            <w:r>
              <w:t>Rubyco</w:t>
            </w:r>
            <w:proofErr w:type="spellEnd"/>
            <w:r>
              <w:t xml:space="preserve"> Ltd., </w:t>
            </w:r>
            <w:proofErr w:type="spellStart"/>
            <w:r>
              <w:t>Danroh</w:t>
            </w:r>
            <w:proofErr w:type="spellEnd"/>
            <w:r>
              <w:t xml:space="preserve"> Inc. and Serious Business Inc.</w:t>
            </w:r>
            <w:r>
              <w:br/>
            </w:r>
          </w:p>
          <w:p w:rsidR="00C2612E" w:rsidRPr="0064055E" w:rsidRDefault="0064055E" w:rsidP="0064055E">
            <w:pPr>
              <w:jc w:val="center"/>
              <w:rPr>
                <w:lang w:val="fr-CA"/>
              </w:rPr>
            </w:pPr>
            <w:r>
              <w:t>Respondents</w:t>
            </w:r>
          </w:p>
        </w:tc>
        <w:tc>
          <w:tcPr>
            <w:tcW w:w="381" w:type="pct"/>
          </w:tcPr>
          <w:p w:rsidR="00C2612E" w:rsidRPr="0064055E" w:rsidRDefault="00C2612E" w:rsidP="00382FEC">
            <w:pPr>
              <w:rPr>
                <w:lang w:val="fr-CA"/>
              </w:rPr>
            </w:pPr>
          </w:p>
        </w:tc>
        <w:tc>
          <w:tcPr>
            <w:tcW w:w="2350" w:type="pct"/>
          </w:tcPr>
          <w:p w:rsidR="00C2612E" w:rsidRPr="00F60809" w:rsidRDefault="00C2612E" w:rsidP="00382FEC">
            <w:pPr>
              <w:rPr>
                <w:lang w:val="fr-CA"/>
              </w:rPr>
            </w:pPr>
          </w:p>
          <w:p w:rsidR="0064055E" w:rsidRPr="00F60809" w:rsidRDefault="0064055E" w:rsidP="0064055E">
            <w:pPr>
              <w:pStyle w:val="SCCLsocPrefix"/>
              <w:rPr>
                <w:lang w:val="fr-CA"/>
              </w:rPr>
            </w:pPr>
            <w:r w:rsidRPr="00F60809">
              <w:rPr>
                <w:lang w:val="fr-CA"/>
              </w:rPr>
              <w:t>ENTRE :</w:t>
            </w:r>
            <w:r w:rsidRPr="00F60809">
              <w:rPr>
                <w:lang w:val="fr-CA"/>
              </w:rPr>
              <w:br/>
            </w:r>
          </w:p>
          <w:p w:rsidR="0064055E" w:rsidRPr="00F900D7" w:rsidRDefault="0064055E" w:rsidP="0064055E">
            <w:pPr>
              <w:pStyle w:val="SCCLsocParty"/>
              <w:rPr>
                <w:lang w:val="fr-CA"/>
              </w:rPr>
            </w:pPr>
            <w:r w:rsidRPr="00F900D7">
              <w:rPr>
                <w:lang w:val="fr-CA"/>
              </w:rPr>
              <w:t xml:space="preserve">Sable Offshore </w:t>
            </w:r>
            <w:proofErr w:type="spellStart"/>
            <w:r w:rsidRPr="00F900D7">
              <w:rPr>
                <w:lang w:val="fr-CA"/>
              </w:rPr>
              <w:t>Energy</w:t>
            </w:r>
            <w:proofErr w:type="spellEnd"/>
            <w:r w:rsidRPr="00F900D7">
              <w:rPr>
                <w:lang w:val="fr-CA"/>
              </w:rPr>
              <w:t xml:space="preserve"> Inc., </w:t>
            </w:r>
            <w:r w:rsidR="00F900D7" w:rsidRPr="00F900D7">
              <w:rPr>
                <w:lang w:val="fr-CA"/>
              </w:rPr>
              <w:t xml:space="preserve">mandataire des détenteurs d’une participation de </w:t>
            </w:r>
            <w:proofErr w:type="spellStart"/>
            <w:r w:rsidR="00F900D7" w:rsidRPr="00F900D7">
              <w:rPr>
                <w:lang w:val="fr-CA"/>
              </w:rPr>
              <w:t>concessionaire</w:t>
            </w:r>
            <w:proofErr w:type="spellEnd"/>
            <w:r w:rsidR="00F900D7" w:rsidRPr="00F900D7">
              <w:rPr>
                <w:lang w:val="fr-CA"/>
              </w:rPr>
              <w:t xml:space="preserve"> dans le Projet énergétique extrac</w:t>
            </w:r>
            <w:r w:rsidR="00F900D7">
              <w:rPr>
                <w:lang w:val="fr-CA"/>
              </w:rPr>
              <w:t xml:space="preserve">ôtier Sable, Exxon Mobil Canada </w:t>
            </w:r>
            <w:proofErr w:type="spellStart"/>
            <w:r w:rsidR="00F900D7">
              <w:rPr>
                <w:lang w:val="fr-CA"/>
              </w:rPr>
              <w:t>Properties</w:t>
            </w:r>
            <w:proofErr w:type="spellEnd"/>
            <w:r w:rsidR="00F900D7">
              <w:rPr>
                <w:lang w:val="fr-CA"/>
              </w:rPr>
              <w:t xml:space="preserve">, Shell Canada Limited, Imperial </w:t>
            </w:r>
            <w:proofErr w:type="spellStart"/>
            <w:r w:rsidR="00F900D7">
              <w:rPr>
                <w:lang w:val="fr-CA"/>
              </w:rPr>
              <w:t>Oil</w:t>
            </w:r>
            <w:proofErr w:type="spellEnd"/>
            <w:r w:rsidR="00F900D7">
              <w:rPr>
                <w:lang w:val="fr-CA"/>
              </w:rPr>
              <w:t xml:space="preserve"> </w:t>
            </w:r>
            <w:proofErr w:type="spellStart"/>
            <w:r w:rsidR="00F900D7">
              <w:rPr>
                <w:lang w:val="fr-CA"/>
              </w:rPr>
              <w:t>Resources</w:t>
            </w:r>
            <w:proofErr w:type="spellEnd"/>
            <w:r w:rsidR="00F900D7">
              <w:rPr>
                <w:lang w:val="fr-CA"/>
              </w:rPr>
              <w:t xml:space="preserve">, </w:t>
            </w:r>
            <w:proofErr w:type="spellStart"/>
            <w:r w:rsidR="00F900D7">
              <w:rPr>
                <w:lang w:val="fr-CA"/>
              </w:rPr>
              <w:t>Mosbacher</w:t>
            </w:r>
            <w:proofErr w:type="spellEnd"/>
            <w:r w:rsidR="00F900D7">
              <w:rPr>
                <w:lang w:val="fr-CA"/>
              </w:rPr>
              <w:t xml:space="preserve"> Operating Ltd., </w:t>
            </w:r>
            <w:proofErr w:type="spellStart"/>
            <w:r w:rsidR="00F900D7">
              <w:rPr>
                <w:lang w:val="fr-CA"/>
              </w:rPr>
              <w:t>Pengrowth</w:t>
            </w:r>
            <w:proofErr w:type="spellEnd"/>
            <w:r w:rsidR="00F900D7">
              <w:rPr>
                <w:lang w:val="fr-CA"/>
              </w:rPr>
              <w:t xml:space="preserve"> Corporation et Exxon Mobil Canada </w:t>
            </w:r>
            <w:proofErr w:type="spellStart"/>
            <w:r w:rsidR="00F900D7">
              <w:rPr>
                <w:lang w:val="fr-CA"/>
              </w:rPr>
              <w:t>Properties</w:t>
            </w:r>
            <w:proofErr w:type="spellEnd"/>
            <w:r w:rsidR="00F900D7">
              <w:rPr>
                <w:lang w:val="fr-CA"/>
              </w:rPr>
              <w:t>, exploitante du Projet énergétique extracôtier Sable</w:t>
            </w:r>
            <w:r w:rsidRPr="00F900D7">
              <w:rPr>
                <w:lang w:val="fr-CA"/>
              </w:rPr>
              <w:br/>
            </w:r>
          </w:p>
          <w:p w:rsidR="0064055E" w:rsidRPr="00F60809" w:rsidRDefault="0064055E" w:rsidP="0064055E">
            <w:pPr>
              <w:pStyle w:val="SCCLsocPartyRole"/>
              <w:rPr>
                <w:lang w:val="fr-CA"/>
              </w:rPr>
            </w:pPr>
            <w:r w:rsidRPr="00F60809">
              <w:rPr>
                <w:lang w:val="fr-CA"/>
              </w:rPr>
              <w:t>Demanderesses</w:t>
            </w:r>
            <w:r w:rsidRPr="00F60809">
              <w:rPr>
                <w:lang w:val="fr-CA"/>
              </w:rPr>
              <w:br/>
            </w:r>
          </w:p>
          <w:p w:rsidR="0064055E" w:rsidRPr="00F60809" w:rsidRDefault="0064055E" w:rsidP="0064055E">
            <w:pPr>
              <w:pStyle w:val="SCCLsocVersus"/>
              <w:rPr>
                <w:lang w:val="fr-CA"/>
              </w:rPr>
            </w:pPr>
            <w:r w:rsidRPr="00F60809">
              <w:rPr>
                <w:lang w:val="fr-CA"/>
              </w:rPr>
              <w:t>- et -</w:t>
            </w:r>
            <w:r w:rsidRPr="00F60809">
              <w:rPr>
                <w:lang w:val="fr-CA"/>
              </w:rPr>
              <w:br/>
            </w:r>
          </w:p>
          <w:p w:rsidR="0064055E" w:rsidRPr="00F60809" w:rsidRDefault="0064055E" w:rsidP="0064055E">
            <w:pPr>
              <w:pStyle w:val="SCCLsocParty"/>
              <w:rPr>
                <w:lang w:val="fr-CA"/>
              </w:rPr>
            </w:pPr>
            <w:r w:rsidRPr="00F60809">
              <w:rPr>
                <w:lang w:val="fr-CA"/>
              </w:rPr>
              <w:t>Ameron International Corporation, Ameron B.V., Allcolor Paint Limited, Amercoat Canada, Rubyco Ltd., Danroh Inc. et Serious Business Inc.</w:t>
            </w:r>
            <w:r w:rsidRPr="00F60809">
              <w:rPr>
                <w:lang w:val="fr-CA"/>
              </w:rPr>
              <w:br/>
            </w:r>
          </w:p>
          <w:p w:rsidR="0064055E" w:rsidRPr="006E7BAE" w:rsidRDefault="0064055E" w:rsidP="0064055E">
            <w:pPr>
              <w:jc w:val="center"/>
              <w:rPr>
                <w:lang w:val="fr-CA"/>
              </w:rPr>
            </w:pPr>
            <w:r>
              <w:t>Intimées</w:t>
            </w:r>
          </w:p>
        </w:tc>
      </w:tr>
      <w:tr w:rsidR="0064055E" w:rsidRPr="006E7BAE" w:rsidTr="00F47372">
        <w:tc>
          <w:tcPr>
            <w:tcW w:w="2269" w:type="pct"/>
            <w:vAlign w:val="center"/>
          </w:tcPr>
          <w:p w:rsidR="0064055E" w:rsidRDefault="0064055E">
            <w:pPr>
              <w:pStyle w:val="SCCLsocPrefix"/>
            </w:pPr>
          </w:p>
        </w:tc>
        <w:tc>
          <w:tcPr>
            <w:tcW w:w="381" w:type="pct"/>
            <w:vAlign w:val="center"/>
          </w:tcPr>
          <w:p w:rsidR="0064055E" w:rsidRPr="006E7BAE" w:rsidRDefault="0064055E" w:rsidP="00375294"/>
        </w:tc>
        <w:tc>
          <w:tcPr>
            <w:tcW w:w="2350" w:type="pct"/>
            <w:vAlign w:val="center"/>
          </w:tcPr>
          <w:p w:rsidR="0064055E" w:rsidRDefault="0064055E">
            <w:pPr>
              <w:pStyle w:val="SCCLsocPrefix"/>
            </w:pPr>
          </w:p>
        </w:tc>
      </w:tr>
      <w:tr w:rsidR="00824412" w:rsidRPr="006E7BAE" w:rsidTr="00F47372">
        <w:tc>
          <w:tcPr>
            <w:tcW w:w="2269" w:type="pct"/>
            <w:vAlign w:val="center"/>
          </w:tcPr>
          <w:p w:rsidR="00351EDB" w:rsidRDefault="00351EDB">
            <w:pPr>
              <w:pStyle w:val="SCCLsocPartyRole"/>
            </w:pPr>
          </w:p>
        </w:tc>
        <w:tc>
          <w:tcPr>
            <w:tcW w:w="381" w:type="pct"/>
            <w:vAlign w:val="center"/>
          </w:tcPr>
          <w:p w:rsidR="00824412" w:rsidRPr="006E7BAE" w:rsidRDefault="00824412" w:rsidP="00375294"/>
        </w:tc>
        <w:tc>
          <w:tcPr>
            <w:tcW w:w="2350" w:type="pct"/>
            <w:vAlign w:val="center"/>
          </w:tcPr>
          <w:p w:rsidR="00351EDB" w:rsidRDefault="00351EDB">
            <w:pPr>
              <w:pStyle w:val="SCCLsocPartyRole"/>
            </w:pP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5C79F8"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Nova Scotia Court of Appeal</w:t>
            </w:r>
            <w:r w:rsidRPr="006E7BAE">
              <w:t xml:space="preserve">, Number </w:t>
            </w:r>
            <w:r>
              <w:t>CA 347078, 2011 NSCA 121</w:t>
            </w:r>
            <w:r w:rsidRPr="006E7BAE">
              <w:t xml:space="preserve">, dated </w:t>
            </w:r>
            <w:r>
              <w:t>December 22, 2011</w:t>
            </w:r>
            <w:r w:rsidR="0064055E">
              <w:t>, is granted with costs in the cause</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1196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64055E">
              <w:rPr>
                <w:lang w:val="fr-CA"/>
              </w:rPr>
              <w:t>Cour d’appel de la Nouvelle-Écosse</w:t>
            </w:r>
            <w:r w:rsidRPr="006E7BAE">
              <w:rPr>
                <w:lang w:val="fr-CA"/>
              </w:rPr>
              <w:t xml:space="preserve">, numéro </w:t>
            </w:r>
            <w:r w:rsidRPr="0064055E">
              <w:rPr>
                <w:lang w:val="fr-CA"/>
              </w:rPr>
              <w:t>CA 347078, 2011 NSCA 121</w:t>
            </w:r>
            <w:r w:rsidRPr="006E7BAE">
              <w:rPr>
                <w:lang w:val="fr-CA"/>
              </w:rPr>
              <w:t xml:space="preserve">, </w:t>
            </w:r>
            <w:r w:rsidR="00011960" w:rsidRPr="006E7BAE">
              <w:rPr>
                <w:lang w:val="fr-CA"/>
              </w:rPr>
              <w:t>daté du</w:t>
            </w:r>
            <w:r w:rsidRPr="006E7BAE">
              <w:rPr>
                <w:lang w:val="fr-CA"/>
              </w:rPr>
              <w:t xml:space="preserve"> </w:t>
            </w:r>
            <w:r w:rsidRPr="0064055E">
              <w:rPr>
                <w:lang w:val="fr-CA"/>
              </w:rPr>
              <w:t>22 décembre 2011</w:t>
            </w:r>
            <w:r w:rsidR="0064055E">
              <w:rPr>
                <w:lang w:val="fr-CA"/>
              </w:rPr>
              <w:t>, est accueillie avec dépens suivant l’issue de la cause</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EA7B89" w:rsidRDefault="00EA7B89" w:rsidP="00417FB7">
      <w:pPr>
        <w:jc w:val="center"/>
        <w:rPr>
          <w:lang w:val="fr-CA"/>
        </w:rPr>
      </w:pPr>
    </w:p>
    <w:p w:rsidR="00EA7B89" w:rsidRPr="00D83B8C" w:rsidRDefault="00EA7B89"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64055E">
      <w:pPr>
        <w:jc w:val="center"/>
        <w:rPr>
          <w:lang w:val="fr-CA"/>
        </w:rPr>
      </w:pPr>
      <w:r w:rsidRPr="00D83B8C">
        <w:rPr>
          <w:lang w:val="fr-CA"/>
        </w:rPr>
        <w:t>J.C.C.</w:t>
      </w:r>
      <w:r w:rsidR="0064055E"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AA0408" w:rsidRPr="00417FB7">
      <w:rPr>
        <w:szCs w:val="24"/>
      </w:rPr>
      <w:fldChar w:fldCharType="begin"/>
    </w:r>
    <w:r w:rsidRPr="00417FB7">
      <w:rPr>
        <w:szCs w:val="24"/>
      </w:rPr>
      <w:instrText xml:space="preserve"> PAGE   \* MERGEFORMAT </w:instrText>
    </w:r>
    <w:r w:rsidR="00AA0408" w:rsidRPr="00417FB7">
      <w:rPr>
        <w:szCs w:val="24"/>
      </w:rPr>
      <w:fldChar w:fldCharType="separate"/>
    </w:r>
    <w:r w:rsidR="005C79F8">
      <w:rPr>
        <w:noProof/>
        <w:szCs w:val="24"/>
      </w:rPr>
      <w:t>2</w:t>
    </w:r>
    <w:r w:rsidR="00AA0408"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34678</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1EDB"/>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5C79F8"/>
    <w:rsid w:val="00612913"/>
    <w:rsid w:val="00614908"/>
    <w:rsid w:val="0064055E"/>
    <w:rsid w:val="00650109"/>
    <w:rsid w:val="006E7BAE"/>
    <w:rsid w:val="00701109"/>
    <w:rsid w:val="007105E2"/>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8F61B0"/>
    <w:rsid w:val="009305BF"/>
    <w:rsid w:val="00951EF6"/>
    <w:rsid w:val="0096638C"/>
    <w:rsid w:val="00971A08"/>
    <w:rsid w:val="009D45DF"/>
    <w:rsid w:val="009E0F71"/>
    <w:rsid w:val="009E7A46"/>
    <w:rsid w:val="009F436C"/>
    <w:rsid w:val="00A03153"/>
    <w:rsid w:val="00A103E3"/>
    <w:rsid w:val="00A252FA"/>
    <w:rsid w:val="00AA0408"/>
    <w:rsid w:val="00AB5E22"/>
    <w:rsid w:val="00AE2077"/>
    <w:rsid w:val="00B158E3"/>
    <w:rsid w:val="00B408F8"/>
    <w:rsid w:val="00B5078E"/>
    <w:rsid w:val="00B60591"/>
    <w:rsid w:val="00B60EDC"/>
    <w:rsid w:val="00BD4E4C"/>
    <w:rsid w:val="00BF7644"/>
    <w:rsid w:val="00C1285B"/>
    <w:rsid w:val="00C2612E"/>
    <w:rsid w:val="00CE249F"/>
    <w:rsid w:val="00CF17D0"/>
    <w:rsid w:val="00D42339"/>
    <w:rsid w:val="00D61AC2"/>
    <w:rsid w:val="00D83B8C"/>
    <w:rsid w:val="00E12A51"/>
    <w:rsid w:val="00E777AD"/>
    <w:rsid w:val="00EA4B61"/>
    <w:rsid w:val="00EA7B89"/>
    <w:rsid w:val="00EE2A6C"/>
    <w:rsid w:val="00EF6754"/>
    <w:rsid w:val="00F06BF6"/>
    <w:rsid w:val="00F1759D"/>
    <w:rsid w:val="00F20569"/>
    <w:rsid w:val="00F40FBF"/>
    <w:rsid w:val="00F47372"/>
    <w:rsid w:val="00F5034C"/>
    <w:rsid w:val="00F60809"/>
    <w:rsid w:val="00F70D4F"/>
    <w:rsid w:val="00F76E97"/>
    <w:rsid w:val="00F84E07"/>
    <w:rsid w:val="00F874E6"/>
    <w:rsid w:val="00F900D7"/>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B091-6971-4F28-973F-3EAB5F1C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241</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7</cp:revision>
  <cp:lastPrinted>2012-06-27T17:20:00Z</cp:lastPrinted>
  <dcterms:created xsi:type="dcterms:W3CDTF">2012-06-14T20:21:00Z</dcterms:created>
  <dcterms:modified xsi:type="dcterms:W3CDTF">2012-07-03T17:20:00Z</dcterms:modified>
</cp:coreProperties>
</file>