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34866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30"/>
        <w:gridCol w:w="359"/>
        <w:gridCol w:w="4861"/>
      </w:tblGrid>
      <w:tr w:rsidR="00417FB7" w:rsidRPr="006E7BAE" w:rsidTr="00A01DC9">
        <w:tc>
          <w:tcPr>
            <w:tcW w:w="2323" w:type="pct"/>
          </w:tcPr>
          <w:p w:rsidR="00417FB7" w:rsidRPr="006E7BAE" w:rsidRDefault="00A01DC9" w:rsidP="008262A3">
            <w:r>
              <w:t xml:space="preserve">November </w:t>
            </w:r>
            <w:r w:rsidR="00EE2A6C">
              <w:t>1, 2012</w:t>
            </w:r>
          </w:p>
        </w:tc>
        <w:tc>
          <w:tcPr>
            <w:tcW w:w="184" w:type="pct"/>
          </w:tcPr>
          <w:p w:rsidR="00417FB7" w:rsidRPr="006E7BAE" w:rsidRDefault="00417FB7" w:rsidP="00382FEC"/>
        </w:tc>
        <w:tc>
          <w:tcPr>
            <w:tcW w:w="2493" w:type="pct"/>
          </w:tcPr>
          <w:p w:rsidR="00417FB7" w:rsidRPr="00D83B8C" w:rsidRDefault="00EE2A6C" w:rsidP="00EE3906">
            <w:pPr>
              <w:rPr>
                <w:lang w:val="en-US"/>
              </w:rPr>
            </w:pPr>
            <w:r>
              <w:t xml:space="preserve">Le </w:t>
            </w:r>
            <w:r w:rsidR="00EE3906">
              <w:t>1</w:t>
            </w:r>
            <w:r w:rsidR="00EE3906" w:rsidRPr="00EE3906">
              <w:rPr>
                <w:vertAlign w:val="superscript"/>
              </w:rPr>
              <w:t xml:space="preserve">er </w:t>
            </w:r>
            <w:proofErr w:type="spellStart"/>
            <w:r w:rsidR="00A01DC9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A01DC9">
        <w:tc>
          <w:tcPr>
            <w:tcW w:w="2323" w:type="pct"/>
          </w:tcPr>
          <w:p w:rsidR="00C2612E" w:rsidRPr="006E7BAE" w:rsidRDefault="00C2612E" w:rsidP="008262A3"/>
        </w:tc>
        <w:tc>
          <w:tcPr>
            <w:tcW w:w="184" w:type="pct"/>
          </w:tcPr>
          <w:p w:rsidR="00E12A51" w:rsidRPr="006E7BAE" w:rsidRDefault="00E12A51" w:rsidP="00382FEC"/>
        </w:tc>
        <w:tc>
          <w:tcPr>
            <w:tcW w:w="249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97FF1" w:rsidTr="00A01DC9">
        <w:tc>
          <w:tcPr>
            <w:tcW w:w="232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Karakatsanis JJ.</w:t>
            </w:r>
          </w:p>
        </w:tc>
        <w:tc>
          <w:tcPr>
            <w:tcW w:w="184" w:type="pct"/>
          </w:tcPr>
          <w:p w:rsidR="00417FB7" w:rsidRPr="006E7BAE" w:rsidRDefault="00417FB7" w:rsidP="00382FEC"/>
        </w:tc>
        <w:tc>
          <w:tcPr>
            <w:tcW w:w="249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01DC9">
              <w:rPr>
                <w:lang w:val="fr-CA"/>
              </w:rPr>
              <w:t xml:space="preserve">Les juges Fish, </w:t>
            </w:r>
            <w:proofErr w:type="spellStart"/>
            <w:r w:rsidRPr="00A01DC9">
              <w:rPr>
                <w:lang w:val="fr-CA"/>
              </w:rPr>
              <w:t>Rothstein</w:t>
            </w:r>
            <w:proofErr w:type="spellEnd"/>
            <w:r w:rsidRPr="00A01DC9">
              <w:rPr>
                <w:lang w:val="fr-CA"/>
              </w:rPr>
              <w:t xml:space="preserve"> et </w:t>
            </w:r>
            <w:proofErr w:type="spellStart"/>
            <w:r w:rsidRPr="00A01DC9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297FF1" w:rsidTr="00A01DC9">
        <w:tc>
          <w:tcPr>
            <w:tcW w:w="2323" w:type="pct"/>
          </w:tcPr>
          <w:p w:rsidR="00C2612E" w:rsidRPr="00A01DC9" w:rsidRDefault="00C2612E" w:rsidP="008262A3">
            <w:pPr>
              <w:rPr>
                <w:lang w:val="fr-CA"/>
              </w:rPr>
            </w:pPr>
          </w:p>
          <w:p w:rsidR="00C2612E" w:rsidRPr="00A01DC9" w:rsidRDefault="00C2612E" w:rsidP="008262A3">
            <w:pPr>
              <w:rPr>
                <w:lang w:val="fr-CA"/>
              </w:rPr>
            </w:pPr>
          </w:p>
        </w:tc>
        <w:tc>
          <w:tcPr>
            <w:tcW w:w="184" w:type="pct"/>
          </w:tcPr>
          <w:p w:rsidR="00C2612E" w:rsidRPr="00A01DC9" w:rsidRDefault="00C2612E" w:rsidP="00382FEC">
            <w:pPr>
              <w:rPr>
                <w:lang w:val="fr-CA"/>
              </w:rPr>
            </w:pPr>
          </w:p>
        </w:tc>
        <w:tc>
          <w:tcPr>
            <w:tcW w:w="249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A01DC9">
        <w:tc>
          <w:tcPr>
            <w:tcW w:w="2323" w:type="pct"/>
            <w:vAlign w:val="center"/>
          </w:tcPr>
          <w:p w:rsidR="001A0B32" w:rsidRDefault="00A01DC9">
            <w:pPr>
              <w:pStyle w:val="SCCLsocPrefix"/>
            </w:pPr>
            <w:r>
              <w:t>BETWEEN:</w:t>
            </w:r>
            <w:r>
              <w:br/>
            </w:r>
          </w:p>
          <w:p w:rsidR="001A0B32" w:rsidRDefault="00A01DC9">
            <w:pPr>
              <w:pStyle w:val="SCCLsocParty"/>
            </w:pPr>
            <w:r>
              <w:t>Dexter Boyce</w:t>
            </w:r>
            <w:r>
              <w:br/>
            </w:r>
          </w:p>
          <w:p w:rsidR="001A0B32" w:rsidRDefault="00A01DC9">
            <w:pPr>
              <w:pStyle w:val="SCCLsocPartyRole"/>
            </w:pPr>
            <w:r>
              <w:t>Applicant</w:t>
            </w:r>
            <w:r>
              <w:br/>
            </w:r>
          </w:p>
          <w:p w:rsidR="001A0B32" w:rsidRDefault="00A01DC9">
            <w:pPr>
              <w:pStyle w:val="SCCLsocVersus"/>
            </w:pPr>
            <w:r>
              <w:t>- and -</w:t>
            </w:r>
            <w:r>
              <w:br/>
            </w:r>
          </w:p>
          <w:p w:rsidR="001A0B32" w:rsidRDefault="00A01DC9">
            <w:pPr>
              <w:pStyle w:val="SCCLsocParty"/>
            </w:pPr>
            <w:r>
              <w:t>Toronto Police Services Board, Donald Hebert, Aaron Rodrigues, Donavan Smith, Anne-Marie Garisto, Mark McCullagh and various John Does, John Feeney, Thomas Findlay, Kamaljeet Kang and Jeffrey Martin</w:t>
            </w:r>
            <w:r>
              <w:br/>
            </w:r>
          </w:p>
          <w:p w:rsidR="00A01DC9" w:rsidRDefault="00A01DC9">
            <w:pPr>
              <w:pStyle w:val="SCCLsocPartyRole"/>
            </w:pPr>
            <w:r>
              <w:t>Respondents</w:t>
            </w:r>
          </w:p>
          <w:p w:rsidR="00A01DC9" w:rsidRDefault="00A01DC9">
            <w:pPr>
              <w:pStyle w:val="SCCLsocPartyRole"/>
            </w:pPr>
          </w:p>
          <w:p w:rsidR="001A0B32" w:rsidRDefault="00A01DC9">
            <w:pPr>
              <w:pStyle w:val="SCCLsocPartyRole"/>
            </w:pPr>
            <w:r>
              <w:t xml:space="preserve">- et - </w:t>
            </w:r>
            <w:r>
              <w:br/>
            </w:r>
          </w:p>
          <w:p w:rsidR="001A0B32" w:rsidRDefault="00A01DC9">
            <w:pPr>
              <w:pStyle w:val="SCCLsocParty"/>
            </w:pPr>
            <w:r>
              <w:t>Attorney General of Ontario</w:t>
            </w:r>
            <w:r>
              <w:br/>
            </w:r>
          </w:p>
          <w:p w:rsidR="001A0B32" w:rsidRDefault="00A01DC9">
            <w:pPr>
              <w:pStyle w:val="SCCLsocPartyRole"/>
            </w:pPr>
            <w:r>
              <w:t>Intervener</w:t>
            </w:r>
          </w:p>
        </w:tc>
        <w:tc>
          <w:tcPr>
            <w:tcW w:w="184" w:type="pct"/>
            <w:vAlign w:val="center"/>
          </w:tcPr>
          <w:p w:rsidR="00824412" w:rsidRPr="006E7BAE" w:rsidRDefault="00824412" w:rsidP="00375294"/>
        </w:tc>
        <w:tc>
          <w:tcPr>
            <w:tcW w:w="2493" w:type="pct"/>
            <w:vAlign w:val="center"/>
          </w:tcPr>
          <w:p w:rsidR="001A0B32" w:rsidRPr="00A01DC9" w:rsidRDefault="00A01DC9">
            <w:pPr>
              <w:pStyle w:val="SCCLsocPrefix"/>
              <w:rPr>
                <w:lang w:val="fr-CA"/>
              </w:rPr>
            </w:pPr>
            <w:r w:rsidRPr="00A01DC9">
              <w:rPr>
                <w:lang w:val="fr-CA"/>
              </w:rPr>
              <w:t>ENTRE :</w:t>
            </w:r>
            <w:r w:rsidRPr="00A01DC9">
              <w:rPr>
                <w:lang w:val="fr-CA"/>
              </w:rPr>
              <w:br/>
            </w:r>
          </w:p>
          <w:p w:rsidR="001A0B32" w:rsidRPr="00A01DC9" w:rsidRDefault="00A01DC9">
            <w:pPr>
              <w:pStyle w:val="SCCLsocParty"/>
              <w:rPr>
                <w:lang w:val="fr-CA"/>
              </w:rPr>
            </w:pPr>
            <w:proofErr w:type="spellStart"/>
            <w:r w:rsidRPr="00A01DC9">
              <w:rPr>
                <w:lang w:val="fr-CA"/>
              </w:rPr>
              <w:t>Dexter</w:t>
            </w:r>
            <w:proofErr w:type="spellEnd"/>
            <w:r w:rsidRPr="00A01DC9">
              <w:rPr>
                <w:lang w:val="fr-CA"/>
              </w:rPr>
              <w:t xml:space="preserve"> Boyce</w:t>
            </w:r>
            <w:r w:rsidRPr="00A01DC9">
              <w:rPr>
                <w:lang w:val="fr-CA"/>
              </w:rPr>
              <w:br/>
            </w:r>
          </w:p>
          <w:p w:rsidR="001A0B32" w:rsidRPr="00A01DC9" w:rsidRDefault="00A01DC9">
            <w:pPr>
              <w:pStyle w:val="SCCLsocPartyRole"/>
              <w:rPr>
                <w:lang w:val="fr-CA"/>
              </w:rPr>
            </w:pPr>
            <w:r w:rsidRPr="00A01DC9">
              <w:rPr>
                <w:lang w:val="fr-CA"/>
              </w:rPr>
              <w:t>Demandeur</w:t>
            </w:r>
            <w:r w:rsidRPr="00A01DC9">
              <w:rPr>
                <w:lang w:val="fr-CA"/>
              </w:rPr>
              <w:br/>
            </w:r>
          </w:p>
          <w:p w:rsidR="001A0B32" w:rsidRPr="00A01DC9" w:rsidRDefault="00A01DC9">
            <w:pPr>
              <w:pStyle w:val="SCCLsocVersus"/>
              <w:rPr>
                <w:lang w:val="fr-CA"/>
              </w:rPr>
            </w:pPr>
            <w:r w:rsidRPr="00A01DC9">
              <w:rPr>
                <w:lang w:val="fr-CA"/>
              </w:rPr>
              <w:t>- et -</w:t>
            </w:r>
            <w:r w:rsidRPr="00A01DC9">
              <w:rPr>
                <w:lang w:val="fr-CA"/>
              </w:rPr>
              <w:br/>
            </w:r>
          </w:p>
          <w:p w:rsidR="001A0B32" w:rsidRPr="00A01DC9" w:rsidRDefault="00A01DC9">
            <w:pPr>
              <w:pStyle w:val="SCCLsocParty"/>
              <w:rPr>
                <w:lang w:val="fr-CA"/>
              </w:rPr>
            </w:pPr>
            <w:r w:rsidRPr="00A01DC9">
              <w:rPr>
                <w:lang w:val="fr-CA"/>
              </w:rPr>
              <w:t xml:space="preserve">Commission de services policiers de Toronto, Donald Hebert, Aaron Rodrigues, </w:t>
            </w:r>
            <w:proofErr w:type="spellStart"/>
            <w:r w:rsidRPr="00A01DC9">
              <w:rPr>
                <w:lang w:val="fr-CA"/>
              </w:rPr>
              <w:t>Donavan</w:t>
            </w:r>
            <w:proofErr w:type="spellEnd"/>
            <w:r w:rsidRPr="00A01DC9">
              <w:rPr>
                <w:lang w:val="fr-CA"/>
              </w:rPr>
              <w:t xml:space="preserve"> Smith, Anne</w:t>
            </w:r>
            <w:r w:rsidR="005C731B">
              <w:rPr>
                <w:lang w:val="fr-CA"/>
              </w:rPr>
              <w:t>-</w:t>
            </w:r>
            <w:r w:rsidRPr="00A01DC9">
              <w:rPr>
                <w:lang w:val="fr-CA"/>
              </w:rPr>
              <w:t xml:space="preserve">Marie </w:t>
            </w:r>
            <w:proofErr w:type="spellStart"/>
            <w:r w:rsidRPr="00A01DC9">
              <w:rPr>
                <w:lang w:val="fr-CA"/>
              </w:rPr>
              <w:t>Garisto</w:t>
            </w:r>
            <w:proofErr w:type="spellEnd"/>
            <w:r w:rsidRPr="00A01DC9">
              <w:rPr>
                <w:lang w:val="fr-CA"/>
              </w:rPr>
              <w:t xml:space="preserve">, Mark </w:t>
            </w:r>
            <w:proofErr w:type="spellStart"/>
            <w:r w:rsidRPr="00A01DC9">
              <w:rPr>
                <w:lang w:val="fr-CA"/>
              </w:rPr>
              <w:t>McCullagh</w:t>
            </w:r>
            <w:proofErr w:type="spellEnd"/>
            <w:r w:rsidRPr="00A01DC9">
              <w:rPr>
                <w:lang w:val="fr-CA"/>
              </w:rPr>
              <w:t xml:space="preserve"> et divers Pierre Untel, John </w:t>
            </w:r>
            <w:proofErr w:type="spellStart"/>
            <w:r w:rsidRPr="00A01DC9">
              <w:rPr>
                <w:lang w:val="fr-CA"/>
              </w:rPr>
              <w:t>Feeney</w:t>
            </w:r>
            <w:proofErr w:type="spellEnd"/>
            <w:r w:rsidRPr="00A01DC9">
              <w:rPr>
                <w:lang w:val="fr-CA"/>
              </w:rPr>
              <w:t xml:space="preserve">, Thomas Findlay, </w:t>
            </w:r>
            <w:proofErr w:type="spellStart"/>
            <w:r w:rsidRPr="00A01DC9">
              <w:rPr>
                <w:lang w:val="fr-CA"/>
              </w:rPr>
              <w:t>Kamaljeet</w:t>
            </w:r>
            <w:proofErr w:type="spellEnd"/>
            <w:r w:rsidRPr="00A01DC9">
              <w:rPr>
                <w:lang w:val="fr-CA"/>
              </w:rPr>
              <w:t xml:space="preserve"> Kang et Jeffrey Martin</w:t>
            </w:r>
            <w:r w:rsidRPr="00A01DC9">
              <w:rPr>
                <w:lang w:val="fr-CA"/>
              </w:rPr>
              <w:br/>
            </w:r>
          </w:p>
          <w:p w:rsidR="00A01DC9" w:rsidRDefault="00A01DC9">
            <w:pPr>
              <w:pStyle w:val="SCCLsocPartyRole"/>
              <w:rPr>
                <w:lang w:val="fr-CA"/>
              </w:rPr>
            </w:pPr>
            <w:r w:rsidRPr="00A01DC9">
              <w:rPr>
                <w:lang w:val="fr-CA"/>
              </w:rPr>
              <w:t>Intimés</w:t>
            </w:r>
          </w:p>
          <w:p w:rsidR="00A01DC9" w:rsidRDefault="00A01DC9">
            <w:pPr>
              <w:pStyle w:val="SCCLsocPartyRole"/>
              <w:rPr>
                <w:lang w:val="fr-CA"/>
              </w:rPr>
            </w:pPr>
          </w:p>
          <w:p w:rsidR="001A0B32" w:rsidRDefault="00A01DC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- and -</w:t>
            </w:r>
          </w:p>
          <w:p w:rsidR="00A01DC9" w:rsidRPr="00A01DC9" w:rsidRDefault="00A01DC9" w:rsidP="00A01DC9">
            <w:pPr>
              <w:rPr>
                <w:lang w:val="fr-CA"/>
              </w:rPr>
            </w:pPr>
          </w:p>
          <w:p w:rsidR="001A0B32" w:rsidRPr="00A01DC9" w:rsidRDefault="00A01DC9">
            <w:pPr>
              <w:pStyle w:val="SCCLsocParty"/>
              <w:rPr>
                <w:lang w:val="fr-CA"/>
              </w:rPr>
            </w:pPr>
            <w:r w:rsidRPr="00A01DC9">
              <w:rPr>
                <w:lang w:val="fr-CA"/>
              </w:rPr>
              <w:t>Procureur général de l'Ontario</w:t>
            </w:r>
            <w:r w:rsidRPr="00A01DC9">
              <w:rPr>
                <w:lang w:val="fr-CA"/>
              </w:rPr>
              <w:br/>
            </w:r>
          </w:p>
          <w:p w:rsidR="001A0B32" w:rsidRDefault="00A01DC9" w:rsidP="00A01DC9">
            <w:pPr>
              <w:pStyle w:val="SCCLsocPartyRole"/>
            </w:pPr>
            <w:proofErr w:type="spellStart"/>
            <w:r>
              <w:t>Intervenant</w:t>
            </w:r>
            <w:proofErr w:type="spellEnd"/>
          </w:p>
        </w:tc>
      </w:tr>
      <w:tr w:rsidR="00824412" w:rsidRPr="006E7BAE" w:rsidTr="00A01DC9">
        <w:tc>
          <w:tcPr>
            <w:tcW w:w="2323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184" w:type="pct"/>
            <w:vAlign w:val="center"/>
          </w:tcPr>
          <w:p w:rsidR="00824412" w:rsidRPr="006E7BAE" w:rsidRDefault="00824412" w:rsidP="00375294"/>
        </w:tc>
        <w:tc>
          <w:tcPr>
            <w:tcW w:w="2493" w:type="pct"/>
            <w:vAlign w:val="center"/>
          </w:tcPr>
          <w:p w:rsidR="00824412" w:rsidRDefault="00824412" w:rsidP="00B408F8">
            <w:pPr>
              <w:rPr>
                <w:lang w:val="en-US"/>
              </w:rPr>
            </w:pPr>
          </w:p>
          <w:p w:rsidR="00A01DC9" w:rsidRDefault="00A01DC9" w:rsidP="00B408F8">
            <w:pPr>
              <w:rPr>
                <w:lang w:val="en-US"/>
              </w:rPr>
            </w:pPr>
          </w:p>
          <w:p w:rsidR="00A01DC9" w:rsidRDefault="00A01DC9" w:rsidP="00B408F8">
            <w:pPr>
              <w:rPr>
                <w:lang w:val="en-US"/>
              </w:rPr>
            </w:pPr>
          </w:p>
          <w:p w:rsidR="00A01DC9" w:rsidRPr="00D83B8C" w:rsidRDefault="00A01DC9" w:rsidP="00B408F8">
            <w:pPr>
              <w:rPr>
                <w:lang w:val="en-US"/>
              </w:rPr>
            </w:pPr>
          </w:p>
        </w:tc>
      </w:tr>
      <w:tr w:rsidR="00824412" w:rsidRPr="00297FF1" w:rsidTr="00A01DC9">
        <w:tc>
          <w:tcPr>
            <w:tcW w:w="232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01DC9" w:rsidP="00A01DC9">
            <w:pPr>
              <w:jc w:val="both"/>
            </w:pPr>
            <w:r w:rsidRPr="00A01DC9">
              <w:rPr>
                <w:lang w:val="en-GB"/>
              </w:rPr>
              <w:t xml:space="preserve">The motion for an extension of time to serve and file an application for leave to appeal </w:t>
            </w:r>
            <w:r>
              <w:rPr>
                <w:lang w:val="en-GB"/>
              </w:rPr>
              <w:t xml:space="preserve">is granted.  The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C53787, 2012 ONCA 230</w:t>
            </w:r>
            <w:r w:rsidR="00824412" w:rsidRPr="006E7BAE">
              <w:t xml:space="preserve">, dated </w:t>
            </w:r>
            <w:r w:rsidR="00824412">
              <w:t>April 5, 2012</w:t>
            </w:r>
            <w:r w:rsidR="008E0D5C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EE3906">
              <w:t xml:space="preserve"> to the respondents </w:t>
            </w:r>
            <w:r w:rsidR="00EE3906" w:rsidRPr="00EE3906">
              <w:t xml:space="preserve">Toronto Police Services Board, Donald Hebert, Aaron Rodrigues, Donavan Smith, Anne-Marie </w:t>
            </w:r>
            <w:proofErr w:type="spellStart"/>
            <w:r w:rsidR="00EE3906" w:rsidRPr="00EE3906">
              <w:t>Garisto</w:t>
            </w:r>
            <w:proofErr w:type="spellEnd"/>
            <w:r w:rsidR="00EE3906" w:rsidRPr="00EE3906">
              <w:t xml:space="preserve">, Mark </w:t>
            </w:r>
            <w:proofErr w:type="spellStart"/>
            <w:r w:rsidR="00EE3906" w:rsidRPr="00EE3906">
              <w:lastRenderedPageBreak/>
              <w:t>McCullagh</w:t>
            </w:r>
            <w:proofErr w:type="spellEnd"/>
            <w:r w:rsidR="00EE3906" w:rsidRPr="00EE3906">
              <w:t xml:space="preserve"> and various John Does</w:t>
            </w:r>
            <w:r w:rsidR="00824412" w:rsidRPr="006E7BAE">
              <w:t>.</w:t>
            </w:r>
          </w:p>
        </w:tc>
        <w:tc>
          <w:tcPr>
            <w:tcW w:w="184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9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01DC9" w:rsidP="005C731B">
            <w:pPr>
              <w:jc w:val="both"/>
              <w:rPr>
                <w:lang w:val="fr-CA"/>
              </w:rPr>
            </w:pPr>
            <w:r w:rsidRPr="00A01DC9">
              <w:rPr>
                <w:lang w:val="fr-CA"/>
              </w:rPr>
              <w:t xml:space="preserve">La requête en prorogation du délai de signification et de dépôt de la demande d’autorisation d’appel </w:t>
            </w:r>
            <w:r>
              <w:rPr>
                <w:lang w:val="fr-CA"/>
              </w:rPr>
              <w:t xml:space="preserve">est accueille.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01DC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01DC9">
              <w:rPr>
                <w:lang w:val="fr-CA"/>
              </w:rPr>
              <w:t>C53787, 2012 ONCA 230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01DC9">
              <w:rPr>
                <w:lang w:val="fr-CA"/>
              </w:rPr>
              <w:t>5 avril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EE3906">
              <w:rPr>
                <w:lang w:val="fr-CA"/>
              </w:rPr>
              <w:t xml:space="preserve"> en faveur des intimés </w:t>
            </w:r>
            <w:r w:rsidR="00EE3906" w:rsidRPr="00EE3906">
              <w:rPr>
                <w:lang w:val="fr-CA"/>
              </w:rPr>
              <w:t xml:space="preserve">Commission de services policiers de Toronto, Donald Hebert, Aaron Rodrigues, </w:t>
            </w:r>
            <w:proofErr w:type="spellStart"/>
            <w:r w:rsidR="00EE3906" w:rsidRPr="00EE3906">
              <w:rPr>
                <w:lang w:val="fr-CA"/>
              </w:rPr>
              <w:t>Donavan</w:t>
            </w:r>
            <w:proofErr w:type="spellEnd"/>
            <w:r w:rsidR="00EE3906" w:rsidRPr="00EE3906">
              <w:rPr>
                <w:lang w:val="fr-CA"/>
              </w:rPr>
              <w:t xml:space="preserve"> Smith, Anne</w:t>
            </w:r>
            <w:r w:rsidR="005C731B">
              <w:rPr>
                <w:lang w:val="fr-CA"/>
              </w:rPr>
              <w:t>-</w:t>
            </w:r>
            <w:r w:rsidR="00EE3906" w:rsidRPr="00EE3906">
              <w:rPr>
                <w:lang w:val="fr-CA"/>
              </w:rPr>
              <w:t xml:space="preserve">Marie </w:t>
            </w:r>
            <w:proofErr w:type="spellStart"/>
            <w:r w:rsidR="00EE3906" w:rsidRPr="00EE3906">
              <w:rPr>
                <w:lang w:val="fr-CA"/>
              </w:rPr>
              <w:t>Garisto</w:t>
            </w:r>
            <w:proofErr w:type="spellEnd"/>
            <w:r w:rsidR="00EE3906" w:rsidRPr="00EE3906">
              <w:rPr>
                <w:lang w:val="fr-CA"/>
              </w:rPr>
              <w:t xml:space="preserve">, Mark </w:t>
            </w:r>
            <w:proofErr w:type="spellStart"/>
            <w:r w:rsidR="00EE3906" w:rsidRPr="00EE3906">
              <w:rPr>
                <w:lang w:val="fr-CA"/>
              </w:rPr>
              <w:t>McCullagh</w:t>
            </w:r>
            <w:proofErr w:type="spellEnd"/>
            <w:r w:rsidR="00EE3906" w:rsidRPr="00EE3906">
              <w:rPr>
                <w:lang w:val="fr-CA"/>
              </w:rPr>
              <w:t xml:space="preserve"> et </w:t>
            </w:r>
            <w:r w:rsidR="00EE3906" w:rsidRPr="00EE3906">
              <w:rPr>
                <w:lang w:val="fr-CA"/>
              </w:rPr>
              <w:lastRenderedPageBreak/>
              <w:t>divers Pierre Untel</w:t>
            </w:r>
            <w:r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A01DC9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98" w:rsidRDefault="00CC3298">
      <w:r>
        <w:separator/>
      </w:r>
    </w:p>
  </w:endnote>
  <w:endnote w:type="continuationSeparator" w:id="0">
    <w:p w:rsidR="00CC3298" w:rsidRDefault="00CC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98" w:rsidRDefault="00CC3298">
      <w:r>
        <w:separator/>
      </w:r>
    </w:p>
  </w:footnote>
  <w:footnote w:type="continuationSeparator" w:id="0">
    <w:p w:rsidR="00CC3298" w:rsidRDefault="00CC3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E5EF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E5EF1" w:rsidRPr="00417FB7">
      <w:rPr>
        <w:szCs w:val="24"/>
      </w:rPr>
      <w:fldChar w:fldCharType="separate"/>
    </w:r>
    <w:r w:rsidR="00FB79B7">
      <w:rPr>
        <w:noProof/>
        <w:szCs w:val="24"/>
      </w:rPr>
      <w:t>2</w:t>
    </w:r>
    <w:r w:rsidR="003E5EF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0B32"/>
    <w:rsid w:val="001D0116"/>
    <w:rsid w:val="001D4323"/>
    <w:rsid w:val="00203642"/>
    <w:rsid w:val="002523DE"/>
    <w:rsid w:val="002568D3"/>
    <w:rsid w:val="0027284C"/>
    <w:rsid w:val="00297FF1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5EF1"/>
    <w:rsid w:val="00414694"/>
    <w:rsid w:val="00417FB7"/>
    <w:rsid w:val="0042783F"/>
    <w:rsid w:val="004943CF"/>
    <w:rsid w:val="004956DA"/>
    <w:rsid w:val="004D4658"/>
    <w:rsid w:val="00544FAA"/>
    <w:rsid w:val="00563E2C"/>
    <w:rsid w:val="00587869"/>
    <w:rsid w:val="005C731B"/>
    <w:rsid w:val="00612913"/>
    <w:rsid w:val="00614908"/>
    <w:rsid w:val="00650109"/>
    <w:rsid w:val="006A2F2E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0D5C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1DC9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C3298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E3906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79B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9D60-7325-4B27-B0FB-5F0818CC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cp:lastPrinted>2012-10-10T16:57:00Z</cp:lastPrinted>
  <dcterms:created xsi:type="dcterms:W3CDTF">2012-10-10T16:06:00Z</dcterms:created>
  <dcterms:modified xsi:type="dcterms:W3CDTF">2012-11-05T16:45:00Z</dcterms:modified>
</cp:coreProperties>
</file>