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6C" w:rsidRPr="006E7BAE" w:rsidRDefault="003A37CF" w:rsidP="00AE2077">
      <w:pPr>
        <w:jc w:val="right"/>
      </w:pPr>
      <w:bookmarkStart w:id="0" w:name="_GoBack"/>
      <w:bookmarkEnd w:id="0"/>
      <w:r w:rsidRPr="006E7BAE">
        <w:t xml:space="preserve">No. </w:t>
      </w:r>
      <w:r>
        <w:t>34841</w:t>
      </w:r>
      <w:r w:rsidR="0016666F" w:rsidRPr="006E7BAE">
        <w:t>     </w:t>
      </w:r>
    </w:p>
    <w:p w:rsidR="009F436C" w:rsidRPr="006E7BAE" w:rsidRDefault="009F436C" w:rsidP="00382FEC"/>
    <w:p w:rsidR="002568D3" w:rsidRPr="006E7BAE" w:rsidRDefault="002568D3" w:rsidP="00382FEC"/>
    <w:tbl>
      <w:tblPr>
        <w:tblW w:w="5176" w:type="pct"/>
        <w:tblLayout w:type="fixed"/>
        <w:tblCellMar>
          <w:left w:w="29" w:type="dxa"/>
          <w:right w:w="29" w:type="dxa"/>
        </w:tblCellMar>
        <w:tblLook w:val="0000" w:firstRow="0" w:lastRow="0" w:firstColumn="0" w:lastColumn="0" w:noHBand="0" w:noVBand="0"/>
      </w:tblPr>
      <w:tblGrid>
        <w:gridCol w:w="4274"/>
        <w:gridCol w:w="718"/>
        <w:gridCol w:w="4758"/>
      </w:tblGrid>
      <w:tr w:rsidR="00417FB7" w:rsidRPr="006E7BAE" w:rsidTr="00187B43">
        <w:tc>
          <w:tcPr>
            <w:tcW w:w="2192" w:type="pct"/>
          </w:tcPr>
          <w:p w:rsidR="00417FB7" w:rsidRPr="006E7BAE" w:rsidRDefault="00187B43" w:rsidP="00187B43">
            <w:r>
              <w:t xml:space="preserve">November </w:t>
            </w:r>
            <w:r w:rsidR="00EE2A6C">
              <w:t>1, 2012</w:t>
            </w:r>
          </w:p>
        </w:tc>
        <w:tc>
          <w:tcPr>
            <w:tcW w:w="368" w:type="pct"/>
          </w:tcPr>
          <w:p w:rsidR="00417FB7" w:rsidRPr="006E7BAE" w:rsidRDefault="00417FB7" w:rsidP="00382FEC"/>
        </w:tc>
        <w:tc>
          <w:tcPr>
            <w:tcW w:w="2440" w:type="pct"/>
          </w:tcPr>
          <w:p w:rsidR="00417FB7" w:rsidRPr="00D83B8C" w:rsidRDefault="00EE2A6C" w:rsidP="00187B43">
            <w:pPr>
              <w:rPr>
                <w:lang w:val="en-US"/>
              </w:rPr>
            </w:pPr>
            <w:r>
              <w:t>Le 1</w:t>
            </w:r>
            <w:r w:rsidR="007A1C9C">
              <w:rPr>
                <w:vertAlign w:val="superscript"/>
              </w:rPr>
              <w:t>er</w:t>
            </w:r>
            <w:r>
              <w:t xml:space="preserve"> </w:t>
            </w:r>
            <w:r w:rsidR="00187B43">
              <w:t xml:space="preserve">novembre </w:t>
            </w:r>
            <w:r>
              <w:t>2012</w:t>
            </w:r>
          </w:p>
        </w:tc>
      </w:tr>
      <w:tr w:rsidR="00E12A51" w:rsidRPr="006E7BAE" w:rsidTr="00187B43">
        <w:tc>
          <w:tcPr>
            <w:tcW w:w="2192" w:type="pct"/>
          </w:tcPr>
          <w:p w:rsidR="00C2612E" w:rsidRPr="006E7BAE" w:rsidRDefault="00C2612E" w:rsidP="008262A3"/>
        </w:tc>
        <w:tc>
          <w:tcPr>
            <w:tcW w:w="368" w:type="pct"/>
          </w:tcPr>
          <w:p w:rsidR="00E12A51" w:rsidRPr="006E7BAE" w:rsidRDefault="00E12A51" w:rsidP="00382FEC"/>
        </w:tc>
        <w:tc>
          <w:tcPr>
            <w:tcW w:w="2440" w:type="pct"/>
          </w:tcPr>
          <w:p w:rsidR="00E12A51" w:rsidRPr="00D83B8C" w:rsidRDefault="00E12A51" w:rsidP="00816B78">
            <w:pPr>
              <w:rPr>
                <w:lang w:val="en-US"/>
              </w:rPr>
            </w:pPr>
          </w:p>
        </w:tc>
      </w:tr>
      <w:tr w:rsidR="00417FB7" w:rsidRPr="00226092" w:rsidTr="00187B43">
        <w:tc>
          <w:tcPr>
            <w:tcW w:w="2192" w:type="pct"/>
          </w:tcPr>
          <w:p w:rsidR="00417FB7" w:rsidRPr="006E7BAE" w:rsidRDefault="00417FB7" w:rsidP="008262A3">
            <w:r w:rsidRPr="006E7BAE">
              <w:t xml:space="preserve">Coram:  </w:t>
            </w:r>
            <w:r>
              <w:t>Fish, Abella and Karakatsanis JJ.</w:t>
            </w:r>
          </w:p>
        </w:tc>
        <w:tc>
          <w:tcPr>
            <w:tcW w:w="368" w:type="pct"/>
          </w:tcPr>
          <w:p w:rsidR="00417FB7" w:rsidRPr="006E7BAE" w:rsidRDefault="00417FB7" w:rsidP="00382FEC"/>
        </w:tc>
        <w:tc>
          <w:tcPr>
            <w:tcW w:w="2440" w:type="pct"/>
          </w:tcPr>
          <w:p w:rsidR="00417FB7" w:rsidRPr="006E7BAE" w:rsidRDefault="00417FB7" w:rsidP="00382FEC">
            <w:pPr>
              <w:rPr>
                <w:lang w:val="fr-CA"/>
              </w:rPr>
            </w:pPr>
            <w:r w:rsidRPr="006E7BAE">
              <w:rPr>
                <w:lang w:val="fr-CA"/>
              </w:rPr>
              <w:t xml:space="preserve">Coram : </w:t>
            </w:r>
            <w:r w:rsidRPr="00187B43">
              <w:rPr>
                <w:lang w:val="fr-CA"/>
              </w:rPr>
              <w:t>Les juges Fish, Abella et Karakatsanis</w:t>
            </w:r>
          </w:p>
        </w:tc>
      </w:tr>
      <w:tr w:rsidR="00C2612E" w:rsidRPr="00226092" w:rsidTr="00187B43">
        <w:tc>
          <w:tcPr>
            <w:tcW w:w="2192" w:type="pct"/>
          </w:tcPr>
          <w:p w:rsidR="00C2612E" w:rsidRPr="00187B43" w:rsidRDefault="00C2612E" w:rsidP="008262A3">
            <w:pPr>
              <w:rPr>
                <w:lang w:val="fr-CA"/>
              </w:rPr>
            </w:pPr>
          </w:p>
        </w:tc>
        <w:tc>
          <w:tcPr>
            <w:tcW w:w="368" w:type="pct"/>
          </w:tcPr>
          <w:p w:rsidR="00C2612E" w:rsidRPr="00187B43" w:rsidRDefault="00C2612E" w:rsidP="00382FEC">
            <w:pPr>
              <w:rPr>
                <w:lang w:val="fr-CA"/>
              </w:rPr>
            </w:pPr>
          </w:p>
        </w:tc>
        <w:tc>
          <w:tcPr>
            <w:tcW w:w="2440" w:type="pct"/>
          </w:tcPr>
          <w:p w:rsidR="00C2612E" w:rsidRPr="006E7BAE" w:rsidRDefault="00C2612E" w:rsidP="00382FEC">
            <w:pPr>
              <w:rPr>
                <w:lang w:val="fr-CA"/>
              </w:rPr>
            </w:pPr>
          </w:p>
        </w:tc>
      </w:tr>
      <w:tr w:rsidR="00824412" w:rsidRPr="006E7BAE" w:rsidTr="00187B43">
        <w:tc>
          <w:tcPr>
            <w:tcW w:w="2192" w:type="pct"/>
            <w:vAlign w:val="center"/>
          </w:tcPr>
          <w:p w:rsidR="004259CD" w:rsidRDefault="00187B43">
            <w:pPr>
              <w:pStyle w:val="SCCLsocPrefix"/>
            </w:pPr>
            <w:r>
              <w:t>BETWEEN:</w:t>
            </w:r>
            <w:r>
              <w:br/>
            </w:r>
          </w:p>
          <w:p w:rsidR="004259CD" w:rsidRDefault="00187B43">
            <w:pPr>
              <w:pStyle w:val="SCCLsocParty"/>
            </w:pPr>
            <w:r>
              <w:t>Kurt Pieckenhagen, Julita Pieckenhagen, Julita-Luise Pieckenhagen a.k.a. Jules Luise a.k.a. Jules Michael, Vera Pieckenhagen, Christopher Brooks a.k.a. Chris Brooks a.k.a. Andrew Brooks, Nicole Pieckenhagen, 373041 Ontario Inc., Graydon Hall Property Management Ltd. and GH Capital Corporation</w:t>
            </w:r>
            <w:r>
              <w:br/>
            </w:r>
          </w:p>
          <w:p w:rsidR="004259CD" w:rsidRDefault="00187B43">
            <w:pPr>
              <w:pStyle w:val="SCCLsocPartyRole"/>
            </w:pPr>
            <w:r>
              <w:t>Applicants</w:t>
            </w:r>
            <w:r>
              <w:br/>
            </w:r>
          </w:p>
          <w:p w:rsidR="004259CD" w:rsidRDefault="00187B43">
            <w:pPr>
              <w:pStyle w:val="SCCLsocVersus"/>
            </w:pPr>
            <w:r>
              <w:t>- and -</w:t>
            </w:r>
            <w:r>
              <w:br/>
            </w:r>
          </w:p>
          <w:p w:rsidR="004259CD" w:rsidRDefault="00187B43">
            <w:pPr>
              <w:pStyle w:val="SCCLsocParty"/>
            </w:pPr>
            <w:r>
              <w:t>Shaw Satellite G.P., c.o.b. as Shaw Direct</w:t>
            </w:r>
            <w:r w:rsidRPr="007A1C9C">
              <w:rPr>
                <w:vertAlign w:val="superscript"/>
              </w:rPr>
              <w:t>TM</w:t>
            </w:r>
            <w:r>
              <w:t>, Megan Anderson, Curt-Michael Pieckenhagen a.k.a. Curt Michael Pieckenhagen a.k.a. Curt Pieckenhagen a.k.a. Curt-Michael Picckenhayen a.k.a. Kurt Michael a.k.a. Pat Turner, 1125749 Ontario Limited, Eccelerated Digital, Accelerated Digital Communications Inc. and 121429 Ontario Inc.</w:t>
            </w:r>
            <w:r>
              <w:br/>
            </w:r>
          </w:p>
          <w:p w:rsidR="004259CD" w:rsidRDefault="00187B43">
            <w:pPr>
              <w:pStyle w:val="SCCLsocPartyRole"/>
            </w:pPr>
            <w:r>
              <w:t>Respondents</w:t>
            </w:r>
          </w:p>
        </w:tc>
        <w:tc>
          <w:tcPr>
            <w:tcW w:w="368" w:type="pct"/>
            <w:vAlign w:val="center"/>
          </w:tcPr>
          <w:p w:rsidR="00824412" w:rsidRPr="006E7BAE" w:rsidRDefault="00824412" w:rsidP="00375294"/>
        </w:tc>
        <w:tc>
          <w:tcPr>
            <w:tcW w:w="2440" w:type="pct"/>
            <w:vAlign w:val="center"/>
          </w:tcPr>
          <w:p w:rsidR="004259CD" w:rsidRDefault="00187B43">
            <w:pPr>
              <w:pStyle w:val="SCCLsocPrefix"/>
            </w:pPr>
            <w:r>
              <w:t>ENTRE :</w:t>
            </w:r>
            <w:r>
              <w:br/>
            </w:r>
          </w:p>
          <w:p w:rsidR="007A1C9C" w:rsidRDefault="00187B43">
            <w:pPr>
              <w:pStyle w:val="SCCLsocParty"/>
            </w:pPr>
            <w:r>
              <w:t xml:space="preserve">Kurt Pieckenhagen, Julita Pieckenhagen, </w:t>
            </w:r>
          </w:p>
          <w:p w:rsidR="007A1C9C" w:rsidRDefault="00187B43">
            <w:pPr>
              <w:pStyle w:val="SCCLsocParty"/>
            </w:pPr>
            <w:r>
              <w:t>Julita</w:t>
            </w:r>
            <w:r w:rsidR="007A1C9C">
              <w:t>-</w:t>
            </w:r>
            <w:r>
              <w:t xml:space="preserve">Luise Pieckenhagen alias Jules Luise </w:t>
            </w:r>
          </w:p>
          <w:p w:rsidR="00187B43" w:rsidRDefault="00187B43">
            <w:pPr>
              <w:pStyle w:val="SCCLsocParty"/>
            </w:pPr>
            <w:r>
              <w:t>alias Jules Michael, Vera Pieckenhagen, Christopher Brooks alias Chris Brooks alias Andrew Brooks, Nicole Pieckenhagen, 373041 Ontario Inc., Graydon Hall Property Management Ltd.</w:t>
            </w:r>
          </w:p>
          <w:p w:rsidR="00187B43" w:rsidRPr="00187B43" w:rsidRDefault="00187B43" w:rsidP="007A1C9C">
            <w:pPr>
              <w:pStyle w:val="SCCLsocParty"/>
              <w:rPr>
                <w:lang w:val="fr-CA"/>
              </w:rPr>
            </w:pPr>
            <w:r w:rsidRPr="00187B43">
              <w:rPr>
                <w:lang w:val="fr-CA"/>
              </w:rPr>
              <w:t>et GH Capital Corporation</w:t>
            </w:r>
            <w:r w:rsidRPr="00187B43">
              <w:rPr>
                <w:lang w:val="fr-CA"/>
              </w:rPr>
              <w:br/>
            </w:r>
          </w:p>
          <w:p w:rsidR="004259CD" w:rsidRPr="00187B43" w:rsidRDefault="00187B43">
            <w:pPr>
              <w:pStyle w:val="SCCLsocPartyRole"/>
              <w:rPr>
                <w:lang w:val="fr-CA"/>
              </w:rPr>
            </w:pPr>
            <w:r w:rsidRPr="00187B43">
              <w:rPr>
                <w:lang w:val="fr-CA"/>
              </w:rPr>
              <w:t>Demandeurs</w:t>
            </w:r>
            <w:r w:rsidRPr="00187B43">
              <w:rPr>
                <w:lang w:val="fr-CA"/>
              </w:rPr>
              <w:br/>
            </w:r>
          </w:p>
          <w:p w:rsidR="00187B43" w:rsidRPr="007A1C9C" w:rsidRDefault="00187B43" w:rsidP="00187B43">
            <w:pPr>
              <w:pStyle w:val="SCCLsocVersus"/>
              <w:rPr>
                <w:lang w:val="fr-CA"/>
              </w:rPr>
            </w:pPr>
            <w:r w:rsidRPr="007A1C9C">
              <w:rPr>
                <w:lang w:val="fr-CA"/>
              </w:rPr>
              <w:t>- et -</w:t>
            </w:r>
            <w:r w:rsidRPr="007A1C9C">
              <w:rPr>
                <w:lang w:val="fr-CA"/>
              </w:rPr>
              <w:br/>
            </w:r>
          </w:p>
          <w:p w:rsidR="007A1C9C" w:rsidRDefault="00187B43">
            <w:pPr>
              <w:pStyle w:val="SCCLsocParty"/>
              <w:rPr>
                <w:lang w:val="fr-CA"/>
              </w:rPr>
            </w:pPr>
            <w:r w:rsidRPr="007A1C9C">
              <w:rPr>
                <w:lang w:val="fr-CA"/>
              </w:rPr>
              <w:t>Shaw Satellite G.P., faisant affaire sous la dénomination sociale Shaw Direct</w:t>
            </w:r>
            <w:r w:rsidRPr="007A1C9C">
              <w:rPr>
                <w:vertAlign w:val="superscript"/>
                <w:lang w:val="fr-CA"/>
              </w:rPr>
              <w:t>TM</w:t>
            </w:r>
            <w:r w:rsidRPr="007A1C9C">
              <w:rPr>
                <w:lang w:val="fr-CA"/>
              </w:rPr>
              <w:t xml:space="preserve">, </w:t>
            </w:r>
          </w:p>
          <w:p w:rsidR="007A1C9C" w:rsidRDefault="00187B43" w:rsidP="007A1C9C">
            <w:pPr>
              <w:pStyle w:val="SCCLsocParty"/>
              <w:rPr>
                <w:lang w:val="en-US"/>
              </w:rPr>
            </w:pPr>
            <w:r w:rsidRPr="007A1C9C">
              <w:rPr>
                <w:lang w:val="en-US"/>
              </w:rPr>
              <w:t>Megan Anderson, Curt</w:t>
            </w:r>
            <w:r w:rsidR="007A1C9C" w:rsidRPr="007A1C9C">
              <w:rPr>
                <w:lang w:val="en-US"/>
              </w:rPr>
              <w:t>-</w:t>
            </w:r>
            <w:r w:rsidRPr="007A1C9C">
              <w:rPr>
                <w:lang w:val="en-US"/>
              </w:rPr>
              <w:t>Michael Pieckenhagen alias Curt Michael Pieckenhagen alias Curt Pieckenhagen alias Curt</w:t>
            </w:r>
            <w:r w:rsidR="007A1C9C" w:rsidRPr="007A1C9C">
              <w:rPr>
                <w:lang w:val="en-US"/>
              </w:rPr>
              <w:t>-</w:t>
            </w:r>
            <w:r w:rsidRPr="007A1C9C">
              <w:rPr>
                <w:lang w:val="en-US"/>
              </w:rPr>
              <w:t xml:space="preserve">Michael Picckenhayen alias Kurt Michael alias Pat Turner, 1125749 Ontario Limited, Eccelerated Digital, Accelerated Digital Communications Inc. </w:t>
            </w:r>
          </w:p>
          <w:p w:rsidR="00187B43" w:rsidRPr="007A1C9C" w:rsidRDefault="00187B43" w:rsidP="007A1C9C">
            <w:pPr>
              <w:pStyle w:val="SCCLsocParty"/>
              <w:rPr>
                <w:lang w:val="en-US"/>
              </w:rPr>
            </w:pPr>
            <w:r w:rsidRPr="007A1C9C">
              <w:rPr>
                <w:lang w:val="en-US"/>
              </w:rPr>
              <w:t>et 121429 Ontario Inc.</w:t>
            </w:r>
            <w:r w:rsidRPr="007A1C9C">
              <w:rPr>
                <w:lang w:val="en-US"/>
              </w:rPr>
              <w:br/>
            </w:r>
          </w:p>
          <w:p w:rsidR="004259CD" w:rsidRDefault="00187B43" w:rsidP="00187B43">
            <w:pPr>
              <w:pStyle w:val="SCCLsocPartyRole"/>
            </w:pPr>
            <w:r>
              <w:t>Intimés</w:t>
            </w:r>
          </w:p>
        </w:tc>
      </w:tr>
      <w:tr w:rsidR="00824412" w:rsidRPr="006E7BAE" w:rsidTr="00187B43">
        <w:tc>
          <w:tcPr>
            <w:tcW w:w="2192" w:type="pct"/>
            <w:vAlign w:val="center"/>
          </w:tcPr>
          <w:p w:rsidR="00824412" w:rsidRPr="006E7BAE" w:rsidRDefault="00824412" w:rsidP="00375294"/>
          <w:p w:rsidR="00824412" w:rsidRPr="006E7BAE" w:rsidRDefault="00824412" w:rsidP="00375294"/>
        </w:tc>
        <w:tc>
          <w:tcPr>
            <w:tcW w:w="368" w:type="pct"/>
            <w:vAlign w:val="center"/>
          </w:tcPr>
          <w:p w:rsidR="00824412" w:rsidRPr="006E7BAE" w:rsidRDefault="00824412" w:rsidP="00375294"/>
        </w:tc>
        <w:tc>
          <w:tcPr>
            <w:tcW w:w="2440" w:type="pct"/>
            <w:vAlign w:val="center"/>
          </w:tcPr>
          <w:p w:rsidR="00824412" w:rsidRPr="00D83B8C" w:rsidRDefault="00824412" w:rsidP="00B408F8">
            <w:pPr>
              <w:rPr>
                <w:lang w:val="en-US"/>
              </w:rPr>
            </w:pPr>
          </w:p>
        </w:tc>
      </w:tr>
      <w:tr w:rsidR="00824412" w:rsidRPr="00226092" w:rsidTr="00187B43">
        <w:tc>
          <w:tcPr>
            <w:tcW w:w="2192" w:type="pct"/>
          </w:tcPr>
          <w:p w:rsidR="00824412" w:rsidRPr="006E7BAE" w:rsidRDefault="00824412" w:rsidP="00C2612E">
            <w:pPr>
              <w:jc w:val="center"/>
            </w:pPr>
            <w:r w:rsidRPr="006E7BAE">
              <w:t>JUDGMENT</w:t>
            </w:r>
          </w:p>
          <w:p w:rsidR="00824412" w:rsidRPr="006E7BAE" w:rsidRDefault="00824412" w:rsidP="00417FB7">
            <w:pPr>
              <w:jc w:val="center"/>
            </w:pPr>
          </w:p>
          <w:p w:rsidR="00824412" w:rsidRPr="006E7BAE" w:rsidRDefault="00824412" w:rsidP="00187B43">
            <w:pPr>
              <w:jc w:val="both"/>
            </w:pPr>
            <w:r w:rsidRPr="006E7BAE">
              <w:t>The app</w:t>
            </w:r>
            <w:r w:rsidR="00011960" w:rsidRPr="006E7BAE">
              <w:t>lication for leave to appeal from the judgment of the</w:t>
            </w:r>
            <w:bookmarkStart w:id="1" w:name="BM_1_"/>
            <w:bookmarkEnd w:id="1"/>
            <w:r w:rsidRPr="006E7BAE">
              <w:t xml:space="preserve"> </w:t>
            </w:r>
            <w:r>
              <w:t>Court of Appeal for Ontario</w:t>
            </w:r>
            <w:r w:rsidRPr="006E7BAE">
              <w:t xml:space="preserve">, Number </w:t>
            </w:r>
            <w:r>
              <w:t>C54205, 2012 ONCA 192</w:t>
            </w:r>
            <w:r w:rsidRPr="006E7BAE">
              <w:t xml:space="preserve">, dated </w:t>
            </w:r>
            <w:r>
              <w:t>March 21, 2012</w:t>
            </w:r>
            <w:r w:rsidR="00187B43">
              <w:t>, is dismissed with costs</w:t>
            </w:r>
            <w:r w:rsidR="007A1C9C">
              <w:t xml:space="preserve"> to the respondent, </w:t>
            </w:r>
            <w:r w:rsidR="007A1C9C" w:rsidRPr="007A1C9C">
              <w:t>Shaw Satellite G.P., c.o.b. as Shaw Direct</w:t>
            </w:r>
            <w:r w:rsidR="007A1C9C" w:rsidRPr="007A1C9C">
              <w:rPr>
                <w:vertAlign w:val="superscript"/>
              </w:rPr>
              <w:t>TM</w:t>
            </w:r>
            <w:r w:rsidR="00187B43">
              <w:t>.</w:t>
            </w:r>
          </w:p>
        </w:tc>
        <w:tc>
          <w:tcPr>
            <w:tcW w:w="368" w:type="pct"/>
          </w:tcPr>
          <w:p w:rsidR="00824412" w:rsidRPr="006E7BAE" w:rsidRDefault="00824412" w:rsidP="00417FB7">
            <w:pPr>
              <w:jc w:val="center"/>
            </w:pPr>
          </w:p>
        </w:tc>
        <w:tc>
          <w:tcPr>
            <w:tcW w:w="244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6E7BAE" w:rsidRDefault="00824412" w:rsidP="007A1C9C">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187B43">
              <w:rPr>
                <w:lang w:val="fr-CA"/>
              </w:rPr>
              <w:t>Cour d’appel de l’Ontario</w:t>
            </w:r>
            <w:r w:rsidRPr="006E7BAE">
              <w:rPr>
                <w:lang w:val="fr-CA"/>
              </w:rPr>
              <w:t xml:space="preserve">, numéro </w:t>
            </w:r>
            <w:r w:rsidRPr="00187B43">
              <w:rPr>
                <w:lang w:val="fr-CA"/>
              </w:rPr>
              <w:t>C54205, 2012 ONCA 192</w:t>
            </w:r>
            <w:r w:rsidRPr="006E7BAE">
              <w:rPr>
                <w:lang w:val="fr-CA"/>
              </w:rPr>
              <w:t xml:space="preserve">, </w:t>
            </w:r>
            <w:r w:rsidR="00011960" w:rsidRPr="006E7BAE">
              <w:rPr>
                <w:lang w:val="fr-CA"/>
              </w:rPr>
              <w:t>daté du</w:t>
            </w:r>
            <w:r w:rsidRPr="006E7BAE">
              <w:rPr>
                <w:lang w:val="fr-CA"/>
              </w:rPr>
              <w:t xml:space="preserve"> </w:t>
            </w:r>
            <w:r w:rsidRPr="00187B43">
              <w:rPr>
                <w:lang w:val="fr-CA"/>
              </w:rPr>
              <w:t>21 mars 2012</w:t>
            </w:r>
            <w:r w:rsidRPr="006E7BAE">
              <w:rPr>
                <w:lang w:val="fr-CA"/>
              </w:rPr>
              <w:t xml:space="preserve">, est </w:t>
            </w:r>
            <w:r w:rsidR="00187B43">
              <w:rPr>
                <w:lang w:val="fr-CA"/>
              </w:rPr>
              <w:t>rejetée avec dépens</w:t>
            </w:r>
            <w:r w:rsidR="007A1C9C">
              <w:rPr>
                <w:lang w:val="fr-CA"/>
              </w:rPr>
              <w:t xml:space="preserve"> en faveur de l’intimée </w:t>
            </w:r>
            <w:r w:rsidR="007A1C9C" w:rsidRPr="007A1C9C">
              <w:rPr>
                <w:lang w:val="fr-CA"/>
              </w:rPr>
              <w:t xml:space="preserve">Shaw Satellite G.P., </w:t>
            </w:r>
            <w:r w:rsidR="007A1C9C">
              <w:rPr>
                <w:lang w:val="fr-CA"/>
              </w:rPr>
              <w:t xml:space="preserve">faisant affaire sous la dénonciation sociale </w:t>
            </w:r>
            <w:r w:rsidR="007A1C9C" w:rsidRPr="007A1C9C">
              <w:rPr>
                <w:lang w:val="fr-CA"/>
              </w:rPr>
              <w:t>Shaw Direct</w:t>
            </w:r>
            <w:r w:rsidR="007A1C9C" w:rsidRPr="007A1C9C">
              <w:rPr>
                <w:vertAlign w:val="superscript"/>
                <w:lang w:val="fr-CA"/>
              </w:rPr>
              <w:t>TM</w:t>
            </w:r>
            <w:r w:rsidR="00187B43">
              <w:rPr>
                <w:lang w:val="fr-CA"/>
              </w:rPr>
              <w:t>.</w:t>
            </w:r>
            <w:r w:rsidR="00011960" w:rsidRPr="006E7BAE">
              <w:rPr>
                <w:lang w:val="fr-CA"/>
              </w:rPr>
              <w:t xml:space="preserve"> </w:t>
            </w:r>
          </w:p>
        </w:tc>
      </w:tr>
    </w:tbl>
    <w:p w:rsidR="009F436C" w:rsidRPr="00D83B8C" w:rsidRDefault="009F436C" w:rsidP="00382FEC">
      <w:pPr>
        <w:rPr>
          <w:lang w:val="fr-CA"/>
        </w:rPr>
      </w:pPr>
    </w:p>
    <w:p w:rsidR="009F436C" w:rsidRPr="00D83B8C" w:rsidRDefault="009F436C" w:rsidP="00417FB7">
      <w:pPr>
        <w:jc w:val="center"/>
        <w:rPr>
          <w:lang w:val="fr-CA"/>
        </w:rPr>
      </w:pPr>
    </w:p>
    <w:p w:rsidR="009F436C" w:rsidRPr="00D83B8C" w:rsidRDefault="009F436C" w:rsidP="00417FB7">
      <w:pPr>
        <w:jc w:val="center"/>
        <w:rPr>
          <w:lang w:val="fr-CA"/>
        </w:rPr>
      </w:pPr>
    </w:p>
    <w:p w:rsidR="00187B43" w:rsidRDefault="00187B43" w:rsidP="00417FB7">
      <w:pPr>
        <w:jc w:val="center"/>
        <w:rPr>
          <w:lang w:val="fr-CA"/>
        </w:rPr>
      </w:pPr>
    </w:p>
    <w:p w:rsidR="009F436C" w:rsidRPr="00A252FA" w:rsidRDefault="003A37CF" w:rsidP="00417FB7">
      <w:pPr>
        <w:jc w:val="center"/>
        <w:rPr>
          <w:lang w:val="fr-CA"/>
        </w:rPr>
      </w:pPr>
      <w:r w:rsidRPr="00A252FA">
        <w:rPr>
          <w:lang w:val="fr-CA"/>
        </w:rPr>
        <w:t>J.S.C.C.</w:t>
      </w:r>
    </w:p>
    <w:p w:rsidR="008F53F3" w:rsidRPr="00A252FA" w:rsidRDefault="003A37CF" w:rsidP="00417FB7">
      <w:pPr>
        <w:jc w:val="center"/>
        <w:rPr>
          <w:lang w:val="fr-CA"/>
        </w:rPr>
      </w:pPr>
      <w:r w:rsidRPr="00A252FA">
        <w:rPr>
          <w:lang w:val="fr-CA"/>
        </w:rPr>
        <w:t>J.C.S.C.</w:t>
      </w:r>
    </w:p>
    <w:p w:rsidR="003A37CF" w:rsidRPr="00D83B8C" w:rsidRDefault="003A37CF" w:rsidP="00187B43">
      <w:pPr>
        <w:spacing w:after="200" w:line="276" w:lineRule="auto"/>
        <w:rPr>
          <w:lang w:val="fr-CA"/>
        </w:rPr>
      </w:pPr>
    </w:p>
    <w:sectPr w:rsidR="003A37CF" w:rsidRPr="00D83B8C" w:rsidSect="008F53F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67D" w:rsidRDefault="00EC667D">
      <w:r>
        <w:separator/>
      </w:r>
    </w:p>
  </w:endnote>
  <w:endnote w:type="continuationSeparator" w:id="0">
    <w:p w:rsidR="00EC667D" w:rsidRDefault="00EC6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67D" w:rsidRDefault="00EC667D">
      <w:r>
        <w:separator/>
      </w:r>
    </w:p>
  </w:footnote>
  <w:footnote w:type="continuationSeparator" w:id="0">
    <w:p w:rsidR="00EC667D" w:rsidRDefault="00EC6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2E" w:rsidRDefault="00C2612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rsidP="008F53F3">
    <w:pPr>
      <w:tabs>
        <w:tab w:val="center" w:pos="4680"/>
      </w:tabs>
      <w:jc w:val="center"/>
      <w:rPr>
        <w:szCs w:val="24"/>
      </w:rPr>
    </w:pPr>
    <w:r>
      <w:rPr>
        <w:szCs w:val="24"/>
      </w:rPr>
      <w:t xml:space="preserve">- </w:t>
    </w:r>
    <w:r w:rsidR="003015F3" w:rsidRPr="00417FB7">
      <w:rPr>
        <w:szCs w:val="24"/>
      </w:rPr>
      <w:fldChar w:fldCharType="begin"/>
    </w:r>
    <w:r w:rsidRPr="00417FB7">
      <w:rPr>
        <w:szCs w:val="24"/>
      </w:rPr>
      <w:instrText xml:space="preserve"> PAGE   \* MERGEFORMAT </w:instrText>
    </w:r>
    <w:r w:rsidR="003015F3" w:rsidRPr="00417FB7">
      <w:rPr>
        <w:szCs w:val="24"/>
      </w:rPr>
      <w:fldChar w:fldCharType="separate"/>
    </w:r>
    <w:r w:rsidR="005E612E">
      <w:rPr>
        <w:noProof/>
        <w:szCs w:val="24"/>
      </w:rPr>
      <w:t>2</w:t>
    </w:r>
    <w:r w:rsidR="003015F3" w:rsidRPr="00417FB7">
      <w:rPr>
        <w:szCs w:val="24"/>
      </w:rPr>
      <w:fldChar w:fldCharType="end"/>
    </w:r>
    <w:r>
      <w:rPr>
        <w:szCs w:val="24"/>
      </w:rPr>
      <w:t xml:space="preserve"> -</w:t>
    </w:r>
  </w:p>
  <w:p w:rsidR="008F53F3" w:rsidRDefault="008F53F3" w:rsidP="008F53F3">
    <w:pPr>
      <w:rPr>
        <w:szCs w:val="24"/>
      </w:rPr>
    </w:pPr>
  </w:p>
  <w:p w:rsidR="008F53F3" w:rsidRDefault="008F53F3" w:rsidP="008F53F3">
    <w:pPr>
      <w:rPr>
        <w:szCs w:val="24"/>
      </w:rPr>
    </w:pPr>
  </w:p>
  <w:p w:rsidR="008F53F3" w:rsidRDefault="008F53F3" w:rsidP="008F53F3">
    <w:pPr>
      <w:tabs>
        <w:tab w:val="right" w:pos="9360"/>
      </w:tabs>
      <w:jc w:val="right"/>
      <w:rPr>
        <w:szCs w:val="24"/>
      </w:rPr>
    </w:pPr>
    <w:r>
      <w:rPr>
        <w:szCs w:val="24"/>
      </w:rPr>
      <w:t xml:space="preserve">No. </w:t>
    </w:r>
    <w:r>
      <w:t>34841</w:t>
    </w:r>
    <w:r>
      <w:rPr>
        <w:szCs w:val="24"/>
      </w:rPr>
      <w:t>     </w:t>
    </w:r>
  </w:p>
  <w:p w:rsidR="008F53F3" w:rsidRDefault="008F53F3" w:rsidP="008F53F3">
    <w:pP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2E" w:rsidRDefault="00C2612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129C"/>
    <w:rsid w:val="00011960"/>
    <w:rsid w:val="000306C6"/>
    <w:rsid w:val="0003701B"/>
    <w:rsid w:val="0004338D"/>
    <w:rsid w:val="00057FAF"/>
    <w:rsid w:val="00074657"/>
    <w:rsid w:val="00091327"/>
    <w:rsid w:val="000919B4"/>
    <w:rsid w:val="000B4AA7"/>
    <w:rsid w:val="000B76FF"/>
    <w:rsid w:val="000C5913"/>
    <w:rsid w:val="000D7521"/>
    <w:rsid w:val="000E4CCE"/>
    <w:rsid w:val="0016666F"/>
    <w:rsid w:val="00167C15"/>
    <w:rsid w:val="00187B43"/>
    <w:rsid w:val="001D0116"/>
    <w:rsid w:val="001D4323"/>
    <w:rsid w:val="00203642"/>
    <w:rsid w:val="00226092"/>
    <w:rsid w:val="002523DE"/>
    <w:rsid w:val="002568D3"/>
    <w:rsid w:val="0027284C"/>
    <w:rsid w:val="002B5FA6"/>
    <w:rsid w:val="003015F3"/>
    <w:rsid w:val="0031097F"/>
    <w:rsid w:val="0031165C"/>
    <w:rsid w:val="00356186"/>
    <w:rsid w:val="00374E7D"/>
    <w:rsid w:val="00375294"/>
    <w:rsid w:val="00382FC7"/>
    <w:rsid w:val="00382FEC"/>
    <w:rsid w:val="00385A90"/>
    <w:rsid w:val="003A37CF"/>
    <w:rsid w:val="003B1F3D"/>
    <w:rsid w:val="00414694"/>
    <w:rsid w:val="00417FB7"/>
    <w:rsid w:val="004259CD"/>
    <w:rsid w:val="0042783F"/>
    <w:rsid w:val="004943CF"/>
    <w:rsid w:val="004956DA"/>
    <w:rsid w:val="004D4658"/>
    <w:rsid w:val="00563E2C"/>
    <w:rsid w:val="00587869"/>
    <w:rsid w:val="005E612E"/>
    <w:rsid w:val="00612913"/>
    <w:rsid w:val="00614908"/>
    <w:rsid w:val="00650109"/>
    <w:rsid w:val="006E7BAE"/>
    <w:rsid w:val="00701109"/>
    <w:rsid w:val="007372EA"/>
    <w:rsid w:val="0079129C"/>
    <w:rsid w:val="007917FE"/>
    <w:rsid w:val="007A1C9C"/>
    <w:rsid w:val="007A54CC"/>
    <w:rsid w:val="007C5DE8"/>
    <w:rsid w:val="007E68C7"/>
    <w:rsid w:val="00816B78"/>
    <w:rsid w:val="00824412"/>
    <w:rsid w:val="008262A3"/>
    <w:rsid w:val="00830BBE"/>
    <w:rsid w:val="0086042A"/>
    <w:rsid w:val="008763A3"/>
    <w:rsid w:val="008813BC"/>
    <w:rsid w:val="008A153F"/>
    <w:rsid w:val="008F53F3"/>
    <w:rsid w:val="009305BF"/>
    <w:rsid w:val="00951EF6"/>
    <w:rsid w:val="0096638C"/>
    <w:rsid w:val="00971A08"/>
    <w:rsid w:val="009D45DF"/>
    <w:rsid w:val="009E0F71"/>
    <w:rsid w:val="009E7A46"/>
    <w:rsid w:val="009F436C"/>
    <w:rsid w:val="00A03153"/>
    <w:rsid w:val="00A103E3"/>
    <w:rsid w:val="00A252FA"/>
    <w:rsid w:val="00AB5E22"/>
    <w:rsid w:val="00AE2077"/>
    <w:rsid w:val="00B158E3"/>
    <w:rsid w:val="00B408F8"/>
    <w:rsid w:val="00B5078E"/>
    <w:rsid w:val="00B60EDC"/>
    <w:rsid w:val="00BD4E4C"/>
    <w:rsid w:val="00BF7644"/>
    <w:rsid w:val="00C1285B"/>
    <w:rsid w:val="00C2612E"/>
    <w:rsid w:val="00CE249F"/>
    <w:rsid w:val="00CF17D0"/>
    <w:rsid w:val="00D42339"/>
    <w:rsid w:val="00D61AC2"/>
    <w:rsid w:val="00D83B8C"/>
    <w:rsid w:val="00E12A51"/>
    <w:rsid w:val="00E777AD"/>
    <w:rsid w:val="00EA4B61"/>
    <w:rsid w:val="00EC667D"/>
    <w:rsid w:val="00EE2A6C"/>
    <w:rsid w:val="00EF6754"/>
    <w:rsid w:val="00F06BF6"/>
    <w:rsid w:val="00F1759D"/>
    <w:rsid w:val="00F20569"/>
    <w:rsid w:val="00F40FBF"/>
    <w:rsid w:val="00F47372"/>
    <w:rsid w:val="00F5034C"/>
    <w:rsid w:val="00F70D4F"/>
    <w:rsid w:val="00F76E97"/>
    <w:rsid w:val="00F84E07"/>
    <w:rsid w:val="00F874E6"/>
    <w:rsid w:val="00FD4F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Titre2">
    <w:name w:val="heading 2"/>
    <w:basedOn w:val="Normal"/>
    <w:next w:val="Normal"/>
    <w:link w:val="Titre2C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Policepardfau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Policepardfau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Policepardfau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Policepardfau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Policepardfaut"/>
    <w:link w:val="SCCLsocVersus"/>
    <w:rsid w:val="002B5FA6"/>
    <w:rPr>
      <w:rFonts w:ascii="Times New Roman" w:eastAsiaTheme="minorHAnsi" w:hAnsi="Times New Roman"/>
      <w:sz w:val="24"/>
      <w:lang w:eastAsia="en-US"/>
    </w:rPr>
  </w:style>
  <w:style w:type="paragraph" w:styleId="Sansinterligne">
    <w:name w:val="No Spacing"/>
    <w:uiPriority w:val="1"/>
    <w:rsid w:val="00D42339"/>
    <w:pPr>
      <w:spacing w:after="0" w:line="240" w:lineRule="auto"/>
    </w:pPr>
    <w:rPr>
      <w:rFonts w:ascii="Times New Roman" w:eastAsiaTheme="minorHAnsi" w:hAnsi="Times New Roman"/>
      <w:sz w:val="24"/>
      <w:lang w:eastAsia="en-US"/>
    </w:rPr>
  </w:style>
  <w:style w:type="paragraph" w:styleId="En-tte">
    <w:name w:val="header"/>
    <w:basedOn w:val="Normal"/>
    <w:link w:val="En-tteCar"/>
    <w:uiPriority w:val="99"/>
    <w:semiHidden/>
    <w:unhideWhenUsed/>
    <w:rsid w:val="00417FB7"/>
    <w:pPr>
      <w:tabs>
        <w:tab w:val="center" w:pos="4680"/>
        <w:tab w:val="right" w:pos="9360"/>
      </w:tabs>
    </w:pPr>
  </w:style>
  <w:style w:type="character" w:customStyle="1" w:styleId="En-tteCar">
    <w:name w:val="En-tête Car"/>
    <w:basedOn w:val="Policepardfaut"/>
    <w:link w:val="En-tte"/>
    <w:uiPriority w:val="99"/>
    <w:semiHidden/>
    <w:rsid w:val="00417FB7"/>
    <w:rPr>
      <w:rFonts w:ascii="Times New Roman" w:hAnsi="Times New Roman" w:cs="Times New Roman"/>
      <w:sz w:val="20"/>
      <w:szCs w:val="20"/>
    </w:rPr>
  </w:style>
  <w:style w:type="paragraph" w:styleId="Pieddepage">
    <w:name w:val="footer"/>
    <w:basedOn w:val="Normal"/>
    <w:link w:val="PieddepageCar"/>
    <w:uiPriority w:val="99"/>
    <w:semiHidden/>
    <w:unhideWhenUsed/>
    <w:rsid w:val="00417FB7"/>
    <w:pPr>
      <w:tabs>
        <w:tab w:val="center" w:pos="4680"/>
        <w:tab w:val="right" w:pos="9360"/>
      </w:tabs>
    </w:pPr>
  </w:style>
  <w:style w:type="character" w:customStyle="1" w:styleId="PieddepageCar">
    <w:name w:val="Pied de page Car"/>
    <w:basedOn w:val="Policepardfaut"/>
    <w:link w:val="Pieddepage"/>
    <w:uiPriority w:val="99"/>
    <w:semiHidden/>
    <w:rsid w:val="00417FB7"/>
    <w:rPr>
      <w:rFonts w:ascii="Times New Roman" w:hAnsi="Times New Roman" w:cs="Times New Roman"/>
      <w:sz w:val="20"/>
      <w:szCs w:val="20"/>
    </w:rPr>
  </w:style>
  <w:style w:type="character" w:styleId="Textedelespacerserv">
    <w:name w:val="Placeholder Text"/>
    <w:basedOn w:val="Policepardfaut"/>
    <w:uiPriority w:val="99"/>
    <w:semiHidden/>
    <w:rsid w:val="00D61AC2"/>
    <w:rPr>
      <w:color w:val="808080"/>
    </w:rPr>
  </w:style>
  <w:style w:type="paragraph" w:styleId="Textedebulles">
    <w:name w:val="Balloon Text"/>
    <w:basedOn w:val="Normal"/>
    <w:link w:val="TextedebullesCar"/>
    <w:uiPriority w:val="99"/>
    <w:semiHidden/>
    <w:unhideWhenUsed/>
    <w:rsid w:val="00D61AC2"/>
    <w:rPr>
      <w:rFonts w:ascii="Tahoma" w:hAnsi="Tahoma" w:cs="Tahoma"/>
      <w:sz w:val="16"/>
      <w:szCs w:val="16"/>
    </w:rPr>
  </w:style>
  <w:style w:type="character" w:customStyle="1" w:styleId="TextedebullesCar">
    <w:name w:val="Texte de bulles Car"/>
    <w:basedOn w:val="Policepardfaut"/>
    <w:link w:val="Textedebulles"/>
    <w:uiPriority w:val="99"/>
    <w:semiHidden/>
    <w:rsid w:val="00D61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22025-81AE-48E6-B8FD-EF4F3A484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SCC-CSC</dc:creator>
  <cp:keywords/>
  <dc:description/>
  <cp:lastModifiedBy>Farkhunda Aziz</cp:lastModifiedBy>
  <cp:revision>5</cp:revision>
  <cp:lastPrinted>2012-10-10T16:17:00Z</cp:lastPrinted>
  <dcterms:created xsi:type="dcterms:W3CDTF">2012-10-10T16:18:00Z</dcterms:created>
  <dcterms:modified xsi:type="dcterms:W3CDTF">2012-11-05T16:22:00Z</dcterms:modified>
</cp:coreProperties>
</file>