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99" w:type="pct"/>
        <w:tblInd w:w="-3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05"/>
        <w:gridCol w:w="718"/>
        <w:gridCol w:w="4847"/>
      </w:tblGrid>
      <w:tr w:rsidR="00417FB7" w:rsidRPr="006E7BAE" w:rsidTr="006447C2">
        <w:tc>
          <w:tcPr>
            <w:tcW w:w="2264" w:type="pct"/>
          </w:tcPr>
          <w:p w:rsidR="00417FB7" w:rsidRPr="006E7BAE" w:rsidRDefault="00EE2A6C" w:rsidP="008262A3">
            <w:r>
              <w:t>November 1</w:t>
            </w:r>
            <w:r w:rsidR="00071CF6">
              <w:t>5</w:t>
            </w:r>
            <w:r>
              <w:t>, 2012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071CF6">
              <w:t>5</w:t>
            </w:r>
            <w:r>
              <w:t xml:space="preserve"> novembre 2012</w:t>
            </w:r>
          </w:p>
        </w:tc>
      </w:tr>
      <w:tr w:rsidR="00E12A51" w:rsidRPr="006E7BAE" w:rsidTr="006447C2">
        <w:tc>
          <w:tcPr>
            <w:tcW w:w="2264" w:type="pct"/>
          </w:tcPr>
          <w:p w:rsidR="00C2612E" w:rsidRPr="006E7BAE" w:rsidRDefault="00C2612E" w:rsidP="008262A3"/>
        </w:tc>
        <w:tc>
          <w:tcPr>
            <w:tcW w:w="353" w:type="pct"/>
          </w:tcPr>
          <w:p w:rsidR="00E12A51" w:rsidRPr="006E7BAE" w:rsidRDefault="00E12A51" w:rsidP="00382FEC"/>
        </w:tc>
        <w:tc>
          <w:tcPr>
            <w:tcW w:w="238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53E1" w:rsidTr="006447C2">
        <w:tc>
          <w:tcPr>
            <w:tcW w:w="22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47C2">
              <w:rPr>
                <w:lang w:val="fr-CA"/>
              </w:rPr>
              <w:t>Les juges Fish, Cromwell et Karakatsanis</w:t>
            </w:r>
          </w:p>
        </w:tc>
      </w:tr>
      <w:tr w:rsidR="00C2612E" w:rsidRPr="001C53E1" w:rsidTr="006447C2">
        <w:tc>
          <w:tcPr>
            <w:tcW w:w="2264" w:type="pct"/>
          </w:tcPr>
          <w:p w:rsidR="00C2612E" w:rsidRPr="006447C2" w:rsidRDefault="00C2612E" w:rsidP="008262A3">
            <w:pPr>
              <w:rPr>
                <w:lang w:val="fr-CA"/>
              </w:rPr>
            </w:pPr>
          </w:p>
        </w:tc>
        <w:tc>
          <w:tcPr>
            <w:tcW w:w="353" w:type="pct"/>
          </w:tcPr>
          <w:p w:rsidR="00C2612E" w:rsidRPr="006447C2" w:rsidRDefault="00C2612E" w:rsidP="00382FEC">
            <w:pPr>
              <w:rPr>
                <w:lang w:val="fr-CA"/>
              </w:rPr>
            </w:pPr>
          </w:p>
        </w:tc>
        <w:tc>
          <w:tcPr>
            <w:tcW w:w="238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53E1" w:rsidTr="006447C2">
        <w:tc>
          <w:tcPr>
            <w:tcW w:w="2264" w:type="pct"/>
            <w:vAlign w:val="center"/>
          </w:tcPr>
          <w:p w:rsidR="005868D7" w:rsidRDefault="006447C2">
            <w:pPr>
              <w:pStyle w:val="SCCLsocPrefix"/>
            </w:pPr>
            <w:r>
              <w:t>BETWEEN:</w:t>
            </w:r>
            <w:r>
              <w:br/>
            </w:r>
          </w:p>
          <w:p w:rsidR="005868D7" w:rsidRDefault="006447C2">
            <w:pPr>
              <w:pStyle w:val="SCCLsocParty"/>
            </w:pPr>
            <w:r>
              <w:t>Emrah Bulatci</w:t>
            </w:r>
            <w:r>
              <w:br/>
            </w:r>
          </w:p>
          <w:p w:rsidR="005868D7" w:rsidRDefault="006447C2">
            <w:pPr>
              <w:pStyle w:val="SCCLsocPartyRole"/>
            </w:pPr>
            <w:r>
              <w:t>Applicant</w:t>
            </w:r>
            <w:r>
              <w:br/>
            </w:r>
          </w:p>
          <w:p w:rsidR="005868D7" w:rsidRDefault="006447C2">
            <w:pPr>
              <w:pStyle w:val="SCCLsocVersus"/>
            </w:pPr>
            <w:r>
              <w:t>- and -</w:t>
            </w:r>
            <w:r>
              <w:br/>
            </w:r>
          </w:p>
          <w:p w:rsidR="005868D7" w:rsidRDefault="006447C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68D7" w:rsidRDefault="006447C2">
            <w:pPr>
              <w:pStyle w:val="SCCLsocPartyRole"/>
            </w:pPr>
            <w:r>
              <w:t>Respondent</w:t>
            </w:r>
          </w:p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5868D7" w:rsidRPr="006447C2" w:rsidRDefault="006447C2">
            <w:pPr>
              <w:pStyle w:val="SCCLsocPrefix"/>
              <w:rPr>
                <w:lang w:val="fr-CA"/>
              </w:rPr>
            </w:pPr>
            <w:r w:rsidRPr="006447C2">
              <w:rPr>
                <w:lang w:val="fr-CA"/>
              </w:rPr>
              <w:t>ENTRE :</w:t>
            </w:r>
            <w:r w:rsidRPr="006447C2">
              <w:rPr>
                <w:lang w:val="fr-CA"/>
              </w:rPr>
              <w:br/>
            </w:r>
          </w:p>
          <w:p w:rsidR="005868D7" w:rsidRPr="006447C2" w:rsidRDefault="006447C2">
            <w:pPr>
              <w:pStyle w:val="SCCLsocParty"/>
              <w:rPr>
                <w:lang w:val="fr-CA"/>
              </w:rPr>
            </w:pPr>
            <w:proofErr w:type="spellStart"/>
            <w:r w:rsidRPr="006447C2">
              <w:rPr>
                <w:lang w:val="fr-CA"/>
              </w:rPr>
              <w:t>Emrah</w:t>
            </w:r>
            <w:proofErr w:type="spellEnd"/>
            <w:r w:rsidRPr="006447C2">
              <w:rPr>
                <w:lang w:val="fr-CA"/>
              </w:rPr>
              <w:t xml:space="preserve"> </w:t>
            </w:r>
            <w:proofErr w:type="spellStart"/>
            <w:r w:rsidRPr="006447C2">
              <w:rPr>
                <w:lang w:val="fr-CA"/>
              </w:rPr>
              <w:t>Bulatci</w:t>
            </w:r>
            <w:proofErr w:type="spellEnd"/>
            <w:r w:rsidRPr="006447C2">
              <w:rPr>
                <w:lang w:val="fr-CA"/>
              </w:rPr>
              <w:br/>
            </w:r>
          </w:p>
          <w:p w:rsidR="005868D7" w:rsidRPr="006447C2" w:rsidRDefault="006447C2">
            <w:pPr>
              <w:pStyle w:val="SCCLsocPartyRole"/>
              <w:rPr>
                <w:lang w:val="fr-CA"/>
              </w:rPr>
            </w:pPr>
            <w:r w:rsidRPr="006447C2">
              <w:rPr>
                <w:lang w:val="fr-CA"/>
              </w:rPr>
              <w:t>Demandeur</w:t>
            </w:r>
            <w:r w:rsidRPr="006447C2">
              <w:rPr>
                <w:lang w:val="fr-CA"/>
              </w:rPr>
              <w:br/>
            </w:r>
          </w:p>
          <w:p w:rsidR="005868D7" w:rsidRPr="006447C2" w:rsidRDefault="006447C2">
            <w:pPr>
              <w:pStyle w:val="SCCLsocVersus"/>
              <w:rPr>
                <w:lang w:val="fr-CA"/>
              </w:rPr>
            </w:pPr>
            <w:r w:rsidRPr="006447C2">
              <w:rPr>
                <w:lang w:val="fr-CA"/>
              </w:rPr>
              <w:t>- et -</w:t>
            </w:r>
            <w:r w:rsidRPr="006447C2">
              <w:rPr>
                <w:lang w:val="fr-CA"/>
              </w:rPr>
              <w:br/>
            </w:r>
          </w:p>
          <w:p w:rsidR="005868D7" w:rsidRPr="006447C2" w:rsidRDefault="006447C2">
            <w:pPr>
              <w:pStyle w:val="SCCLsocParty"/>
              <w:rPr>
                <w:lang w:val="fr-CA"/>
              </w:rPr>
            </w:pPr>
            <w:r w:rsidRPr="006447C2">
              <w:rPr>
                <w:lang w:val="fr-CA"/>
              </w:rPr>
              <w:t>Sa Majesté la Reine</w:t>
            </w:r>
            <w:r w:rsidRPr="006447C2">
              <w:rPr>
                <w:lang w:val="fr-CA"/>
              </w:rPr>
              <w:br/>
            </w:r>
          </w:p>
          <w:p w:rsidR="005868D7" w:rsidRPr="006447C2" w:rsidRDefault="006447C2" w:rsidP="006447C2">
            <w:pPr>
              <w:pStyle w:val="SCCLsocPartyRole"/>
              <w:rPr>
                <w:lang w:val="fr-CA"/>
              </w:rPr>
            </w:pPr>
            <w:r w:rsidRPr="006447C2">
              <w:rPr>
                <w:lang w:val="fr-CA"/>
              </w:rPr>
              <w:t>Intimée</w:t>
            </w:r>
          </w:p>
        </w:tc>
      </w:tr>
      <w:tr w:rsidR="00824412" w:rsidRPr="001C53E1" w:rsidTr="006447C2">
        <w:tc>
          <w:tcPr>
            <w:tcW w:w="2264" w:type="pct"/>
            <w:vAlign w:val="center"/>
          </w:tcPr>
          <w:p w:rsidR="00824412" w:rsidRPr="006447C2" w:rsidRDefault="00824412" w:rsidP="00375294">
            <w:pPr>
              <w:rPr>
                <w:lang w:val="fr-CA"/>
              </w:rPr>
            </w:pPr>
          </w:p>
          <w:p w:rsidR="00824412" w:rsidRPr="006447C2" w:rsidRDefault="00824412" w:rsidP="00375294">
            <w:pPr>
              <w:rPr>
                <w:lang w:val="fr-CA"/>
              </w:rPr>
            </w:pPr>
          </w:p>
        </w:tc>
        <w:tc>
          <w:tcPr>
            <w:tcW w:w="353" w:type="pct"/>
            <w:vAlign w:val="center"/>
          </w:tcPr>
          <w:p w:rsidR="00824412" w:rsidRPr="006447C2" w:rsidRDefault="00824412" w:rsidP="00375294">
            <w:pPr>
              <w:rPr>
                <w:lang w:val="fr-CA"/>
              </w:rPr>
            </w:pPr>
          </w:p>
        </w:tc>
        <w:tc>
          <w:tcPr>
            <w:tcW w:w="2383" w:type="pct"/>
            <w:vAlign w:val="center"/>
          </w:tcPr>
          <w:p w:rsidR="00824412" w:rsidRPr="006447C2" w:rsidRDefault="00824412" w:rsidP="00B408F8">
            <w:pPr>
              <w:rPr>
                <w:lang w:val="fr-CA"/>
              </w:rPr>
            </w:pPr>
          </w:p>
        </w:tc>
      </w:tr>
      <w:tr w:rsidR="00824412" w:rsidRPr="001C53E1" w:rsidTr="006447C2">
        <w:tc>
          <w:tcPr>
            <w:tcW w:w="226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446D">
            <w:pPr>
              <w:jc w:val="both"/>
            </w:pPr>
            <w:r w:rsidRPr="006E7BAE">
              <w:t>The</w:t>
            </w:r>
            <w:r w:rsidR="006447C2">
              <w:t xml:space="preserve"> motion for </w:t>
            </w:r>
            <w:r w:rsidR="006C446D">
              <w:t xml:space="preserve">an </w:t>
            </w:r>
            <w:r w:rsidR="006447C2">
              <w:t>extension of time</w:t>
            </w:r>
            <w:r w:rsidR="006C446D">
              <w:t xml:space="preserve"> to serve and file the application for leave to appeal is</w:t>
            </w:r>
            <w:r w:rsidR="006447C2">
              <w:t xml:space="preserve">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the Northwest Territories</w:t>
            </w:r>
            <w:r w:rsidRPr="006E7BAE">
              <w:t xml:space="preserve">, Number </w:t>
            </w:r>
            <w:r>
              <w:t>A-1-AP200900015</w:t>
            </w:r>
            <w:r w:rsidRPr="006E7BAE">
              <w:t xml:space="preserve">, </w:t>
            </w:r>
            <w:r w:rsidR="006C446D">
              <w:t xml:space="preserve">2012 NWTCA 6, </w:t>
            </w:r>
            <w:r w:rsidRPr="006E7BAE">
              <w:t xml:space="preserve">dated </w:t>
            </w:r>
            <w:r>
              <w:t>April 13, 2012</w:t>
            </w:r>
            <w:r w:rsidR="006447C2">
              <w:t xml:space="preserve">, </w:t>
            </w:r>
            <w:r w:rsidRPr="006E7BAE">
              <w:t>is</w:t>
            </w:r>
            <w:r w:rsidR="006447C2">
              <w:t xml:space="preserve"> dismissed</w:t>
            </w:r>
            <w:r w:rsidR="006C446D">
              <w:t xml:space="preserve"> without costs</w:t>
            </w:r>
            <w:r w:rsidR="006447C2">
              <w:t xml:space="preserve">. </w:t>
            </w:r>
            <w:r w:rsidRPr="006E7BAE">
              <w:t xml:space="preserve"> </w:t>
            </w:r>
          </w:p>
        </w:tc>
        <w:tc>
          <w:tcPr>
            <w:tcW w:w="35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14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C446D">
              <w:rPr>
                <w:lang w:val="fr-CA"/>
              </w:rPr>
              <w:t>a requête en prorogation du délai de signification et de dépôt de la demande d’autorisation d’appel est</w:t>
            </w:r>
            <w:r w:rsidR="006447C2">
              <w:rPr>
                <w:lang w:val="fr-CA"/>
              </w:rPr>
              <w:t xml:space="preserve"> </w:t>
            </w:r>
            <w:r w:rsidR="00EC143D" w:rsidRPr="00EC143D">
              <w:rPr>
                <w:lang w:val="fr-CA"/>
              </w:rPr>
              <w:t>accueillie.</w:t>
            </w:r>
            <w:r w:rsidR="00EC143D">
              <w:rPr>
                <w:lang w:val="fr-CA"/>
              </w:rPr>
              <w:t xml:space="preserve"> </w:t>
            </w:r>
            <w:r w:rsidR="006447C2">
              <w:rPr>
                <w:lang w:val="fr-CA"/>
              </w:rPr>
              <w:t xml:space="preserve"> La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47C2">
              <w:rPr>
                <w:lang w:val="fr-CA"/>
              </w:rPr>
              <w:t>Cour d’appel des Territoires du Nord-Ouest</w:t>
            </w:r>
            <w:r w:rsidRPr="006E7BAE">
              <w:rPr>
                <w:lang w:val="fr-CA"/>
              </w:rPr>
              <w:t xml:space="preserve">, numéro </w:t>
            </w:r>
            <w:r w:rsidRPr="006447C2">
              <w:rPr>
                <w:lang w:val="fr-CA"/>
              </w:rPr>
              <w:t>A-1-AP200900015</w:t>
            </w:r>
            <w:r w:rsidRPr="006E7BAE">
              <w:rPr>
                <w:lang w:val="fr-CA"/>
              </w:rPr>
              <w:t xml:space="preserve">, </w:t>
            </w:r>
            <w:r w:rsidR="006C446D">
              <w:rPr>
                <w:lang w:val="fr-CA"/>
              </w:rPr>
              <w:t xml:space="preserve">2012 NWTCA 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47C2">
              <w:rPr>
                <w:lang w:val="fr-CA"/>
              </w:rPr>
              <w:t>13 avril 2012</w:t>
            </w:r>
            <w:r w:rsidRPr="006E7BAE">
              <w:rPr>
                <w:lang w:val="fr-CA"/>
              </w:rPr>
              <w:t xml:space="preserve">, est </w:t>
            </w:r>
            <w:r w:rsidR="006447C2">
              <w:rPr>
                <w:lang w:val="fr-CA"/>
              </w:rPr>
              <w:t>rejetée</w:t>
            </w:r>
            <w:r w:rsidR="006C446D">
              <w:rPr>
                <w:lang w:val="fr-CA"/>
              </w:rPr>
              <w:t xml:space="preserve"> sans dépens</w:t>
            </w:r>
            <w:r w:rsidR="006447C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B408B" w:rsidRPr="00D83B8C" w:rsidRDefault="00DB408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447C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B408B">
      <w:headerReference w:type="default" r:id="rId8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04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0445" w:rsidRPr="00417FB7">
      <w:rPr>
        <w:szCs w:val="24"/>
      </w:rPr>
      <w:fldChar w:fldCharType="separate"/>
    </w:r>
    <w:r w:rsidR="00DB408B">
      <w:rPr>
        <w:noProof/>
        <w:szCs w:val="24"/>
      </w:rPr>
      <w:t>2</w:t>
    </w:r>
    <w:r w:rsidR="00F304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CF6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53E1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411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68D7"/>
    <w:rsid w:val="00587869"/>
    <w:rsid w:val="005D24A0"/>
    <w:rsid w:val="00612913"/>
    <w:rsid w:val="00614908"/>
    <w:rsid w:val="006447C2"/>
    <w:rsid w:val="00650109"/>
    <w:rsid w:val="006C446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408B"/>
    <w:rsid w:val="00E12A51"/>
    <w:rsid w:val="00E4774B"/>
    <w:rsid w:val="00E777AD"/>
    <w:rsid w:val="00EA4B61"/>
    <w:rsid w:val="00EC143D"/>
    <w:rsid w:val="00EE2A6C"/>
    <w:rsid w:val="00EF6754"/>
    <w:rsid w:val="00F06BF6"/>
    <w:rsid w:val="00F1759D"/>
    <w:rsid w:val="00F20569"/>
    <w:rsid w:val="00F30445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82F-5B22-48A9-B85B-9972580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cp:lastPrinted>2012-11-14T15:56:00Z</cp:lastPrinted>
  <dcterms:created xsi:type="dcterms:W3CDTF">2012-10-26T13:51:00Z</dcterms:created>
  <dcterms:modified xsi:type="dcterms:W3CDTF">2012-11-19T14:00:00Z</dcterms:modified>
</cp:coreProperties>
</file>