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BE588F" w:rsidRDefault="009F436C" w:rsidP="00382FEC">
      <w:pPr>
        <w:rPr>
          <w:rFonts w:cs="Times New Roman"/>
        </w:rPr>
      </w:pPr>
    </w:p>
    <w:p w:rsidR="009F436C" w:rsidRPr="00BE588F" w:rsidRDefault="009F436C" w:rsidP="00382FEC">
      <w:pPr>
        <w:rPr>
          <w:rFonts w:cs="Times New Roman"/>
        </w:rPr>
      </w:pPr>
    </w:p>
    <w:p w:rsidR="0016666F" w:rsidRPr="00BE588F" w:rsidRDefault="0016666F" w:rsidP="00382FEC">
      <w:pPr>
        <w:rPr>
          <w:rFonts w:cs="Times New Roman"/>
        </w:rPr>
      </w:pPr>
    </w:p>
    <w:p w:rsidR="0016666F" w:rsidRPr="00BE588F" w:rsidRDefault="0016666F" w:rsidP="00382FEC">
      <w:pPr>
        <w:rPr>
          <w:rFonts w:cs="Times New Roman"/>
        </w:rPr>
      </w:pPr>
    </w:p>
    <w:p w:rsidR="00D83B8C" w:rsidRPr="00BE588F" w:rsidRDefault="00D83B8C" w:rsidP="00382FEC">
      <w:pPr>
        <w:rPr>
          <w:rFonts w:cs="Times New Roman"/>
        </w:rPr>
      </w:pPr>
    </w:p>
    <w:p w:rsidR="008C5D20" w:rsidRPr="00BE588F" w:rsidRDefault="008C5D20" w:rsidP="00382FEC">
      <w:pPr>
        <w:rPr>
          <w:rFonts w:cs="Times New Roman"/>
        </w:rPr>
      </w:pPr>
    </w:p>
    <w:p w:rsidR="008C5D20" w:rsidRPr="00BE588F" w:rsidRDefault="008C5D20" w:rsidP="00382FEC">
      <w:pPr>
        <w:rPr>
          <w:rFonts w:cs="Times New Roman"/>
        </w:rPr>
      </w:pPr>
    </w:p>
    <w:p w:rsidR="008C5D20" w:rsidRPr="00BE588F" w:rsidRDefault="008C5D20" w:rsidP="00382FEC">
      <w:pPr>
        <w:rPr>
          <w:rFonts w:cs="Times New Roman"/>
        </w:rPr>
      </w:pPr>
    </w:p>
    <w:p w:rsidR="00621A61" w:rsidRPr="00BE588F" w:rsidRDefault="00621A61" w:rsidP="00382FEC">
      <w:pPr>
        <w:rPr>
          <w:rFonts w:cs="Times New Roman"/>
        </w:rPr>
      </w:pPr>
    </w:p>
    <w:p w:rsidR="00621A61" w:rsidRPr="00BE588F" w:rsidRDefault="00621A61" w:rsidP="00382FEC">
      <w:pPr>
        <w:rPr>
          <w:rFonts w:cs="Times New Roman"/>
        </w:rPr>
      </w:pPr>
    </w:p>
    <w:p w:rsidR="008763A3" w:rsidRPr="00BE588F" w:rsidRDefault="008763A3" w:rsidP="00382FEC">
      <w:pPr>
        <w:rPr>
          <w:rFonts w:cs="Times New Roman"/>
        </w:rPr>
      </w:pPr>
    </w:p>
    <w:p w:rsidR="00D83B8C" w:rsidRPr="00BE588F" w:rsidRDefault="00D83B8C" w:rsidP="00382FEC">
      <w:pPr>
        <w:rPr>
          <w:rFonts w:cs="Times New Roman"/>
        </w:rPr>
      </w:pPr>
    </w:p>
    <w:p w:rsidR="00D83B8C" w:rsidRPr="00BE588F" w:rsidRDefault="00D83B8C" w:rsidP="00382FEC">
      <w:pPr>
        <w:rPr>
          <w:rFonts w:cs="Times New Roman"/>
        </w:rPr>
      </w:pPr>
    </w:p>
    <w:p w:rsidR="00D83B8C" w:rsidRPr="00BE588F" w:rsidRDefault="00D83B8C" w:rsidP="00382FEC">
      <w:pPr>
        <w:rPr>
          <w:rFonts w:cs="Times New Roman"/>
        </w:rPr>
      </w:pPr>
    </w:p>
    <w:p w:rsidR="00D83B8C" w:rsidRPr="00BE588F" w:rsidRDefault="00D83B8C" w:rsidP="00382FEC">
      <w:pPr>
        <w:rPr>
          <w:rFonts w:cs="Times New Roman"/>
        </w:rPr>
      </w:pPr>
    </w:p>
    <w:p w:rsidR="009F436C" w:rsidRPr="00BE588F" w:rsidRDefault="009F436C" w:rsidP="00382FEC">
      <w:pPr>
        <w:rPr>
          <w:rFonts w:cs="Times New Roman"/>
        </w:rPr>
      </w:pPr>
    </w:p>
    <w:p w:rsidR="009F436C" w:rsidRPr="00BE588F" w:rsidRDefault="003A37CF" w:rsidP="00AE2077">
      <w:pPr>
        <w:jc w:val="right"/>
        <w:rPr>
          <w:rFonts w:cs="Times New Roman"/>
        </w:rPr>
      </w:pPr>
      <w:r w:rsidRPr="00BE588F">
        <w:rPr>
          <w:rFonts w:cs="Times New Roman"/>
        </w:rPr>
        <w:t>No. 34644</w:t>
      </w:r>
      <w:r w:rsidR="0016666F" w:rsidRPr="00BE588F">
        <w:rPr>
          <w:rFonts w:cs="Times New Roman"/>
        </w:rPr>
        <w:t>     </w:t>
      </w:r>
    </w:p>
    <w:p w:rsidR="009F436C" w:rsidRPr="00BE588F" w:rsidRDefault="009F436C" w:rsidP="00382FEC">
      <w:pPr>
        <w:rPr>
          <w:rFonts w:cs="Times New Roman"/>
        </w:rPr>
      </w:pPr>
    </w:p>
    <w:p w:rsidR="002568D3" w:rsidRPr="00BE588F" w:rsidRDefault="002568D3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BE588F" w:rsidTr="00F47372">
        <w:tc>
          <w:tcPr>
            <w:tcW w:w="2269" w:type="pct"/>
          </w:tcPr>
          <w:p w:rsidR="00417FB7" w:rsidRPr="00BE588F" w:rsidRDefault="00EE2A6C" w:rsidP="00CF6A65">
            <w:pPr>
              <w:rPr>
                <w:rFonts w:cs="Times New Roman"/>
              </w:rPr>
            </w:pPr>
            <w:r w:rsidRPr="00BE588F">
              <w:rPr>
                <w:rFonts w:cs="Times New Roman"/>
              </w:rPr>
              <w:t>J</w:t>
            </w:r>
            <w:r w:rsidR="00DA0D75" w:rsidRPr="00BE588F">
              <w:rPr>
                <w:rFonts w:cs="Times New Roman"/>
              </w:rPr>
              <w:t xml:space="preserve">anuary </w:t>
            </w:r>
            <w:r w:rsidR="00CF6A65" w:rsidRPr="00BE588F">
              <w:rPr>
                <w:rFonts w:cs="Times New Roman"/>
              </w:rPr>
              <w:t>24</w:t>
            </w:r>
            <w:r w:rsidRPr="00BE588F">
              <w:rPr>
                <w:rFonts w:cs="Times New Roman"/>
              </w:rPr>
              <w:t>, 201</w:t>
            </w:r>
            <w:r w:rsidR="00DA0D75" w:rsidRPr="00BE588F">
              <w:rPr>
                <w:rFonts w:cs="Times New Roman"/>
              </w:rPr>
              <w:t>3</w:t>
            </w:r>
          </w:p>
        </w:tc>
        <w:tc>
          <w:tcPr>
            <w:tcW w:w="381" w:type="pct"/>
          </w:tcPr>
          <w:p w:rsidR="00417FB7" w:rsidRPr="00BE588F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BE588F" w:rsidRDefault="00EE2A6C" w:rsidP="00CF6A65">
            <w:pPr>
              <w:rPr>
                <w:rFonts w:cs="Times New Roman"/>
                <w:lang w:val="en-US"/>
              </w:rPr>
            </w:pPr>
            <w:r w:rsidRPr="00BE588F">
              <w:rPr>
                <w:rFonts w:cs="Times New Roman"/>
              </w:rPr>
              <w:t xml:space="preserve">Le </w:t>
            </w:r>
            <w:r w:rsidR="00CF6A65" w:rsidRPr="00BE588F">
              <w:rPr>
                <w:rFonts w:cs="Times New Roman"/>
              </w:rPr>
              <w:t>24</w:t>
            </w:r>
            <w:r w:rsidR="00DA0D75" w:rsidRPr="00BE588F">
              <w:rPr>
                <w:rFonts w:cs="Times New Roman"/>
              </w:rPr>
              <w:t xml:space="preserve"> janvier 2013</w:t>
            </w:r>
          </w:p>
        </w:tc>
      </w:tr>
      <w:tr w:rsidR="00E12A51" w:rsidRPr="00BE588F" w:rsidTr="00F47372">
        <w:tc>
          <w:tcPr>
            <w:tcW w:w="2269" w:type="pct"/>
          </w:tcPr>
          <w:p w:rsidR="00C2612E" w:rsidRPr="00BE588F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</w:tcPr>
          <w:p w:rsidR="00E12A51" w:rsidRPr="00BE588F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E12A51" w:rsidRPr="00BE588F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1C12A4" w:rsidTr="00F47372">
        <w:tc>
          <w:tcPr>
            <w:tcW w:w="2269" w:type="pct"/>
          </w:tcPr>
          <w:p w:rsidR="00417FB7" w:rsidRPr="00BE588F" w:rsidRDefault="00417FB7" w:rsidP="008262A3">
            <w:pPr>
              <w:rPr>
                <w:rFonts w:cs="Times New Roman"/>
              </w:rPr>
            </w:pPr>
            <w:r w:rsidRPr="00BE588F">
              <w:rPr>
                <w:rFonts w:cs="Times New Roman"/>
              </w:rPr>
              <w:t>Coram:  LeBel, Abella and Cromwell JJ.</w:t>
            </w:r>
          </w:p>
        </w:tc>
        <w:tc>
          <w:tcPr>
            <w:tcW w:w="381" w:type="pct"/>
          </w:tcPr>
          <w:p w:rsidR="00417FB7" w:rsidRPr="00BE588F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BE588F" w:rsidRDefault="00417FB7" w:rsidP="00382FEC">
            <w:pPr>
              <w:rPr>
                <w:rFonts w:cs="Times New Roman"/>
                <w:lang w:val="fr-CA"/>
              </w:rPr>
            </w:pPr>
            <w:r w:rsidRPr="00BE588F">
              <w:rPr>
                <w:rFonts w:cs="Times New Roman"/>
                <w:lang w:val="fr-CA"/>
              </w:rPr>
              <w:t>Coram : Les juges LeBel, Abella et Cromwell</w:t>
            </w:r>
          </w:p>
        </w:tc>
      </w:tr>
      <w:tr w:rsidR="00C2612E" w:rsidRPr="001C12A4" w:rsidTr="00F47372">
        <w:tc>
          <w:tcPr>
            <w:tcW w:w="2269" w:type="pct"/>
          </w:tcPr>
          <w:p w:rsidR="00C2612E" w:rsidRPr="00BE588F" w:rsidRDefault="00C2612E" w:rsidP="008262A3">
            <w:pPr>
              <w:rPr>
                <w:rFonts w:cs="Times New Roman"/>
                <w:lang w:val="fr-CA"/>
              </w:rPr>
            </w:pPr>
          </w:p>
          <w:p w:rsidR="00C2612E" w:rsidRPr="00BE588F" w:rsidRDefault="00C2612E" w:rsidP="008262A3">
            <w:pPr>
              <w:rPr>
                <w:rFonts w:cs="Times New Roman"/>
                <w:lang w:val="fr-CA"/>
              </w:rPr>
            </w:pPr>
          </w:p>
        </w:tc>
        <w:tc>
          <w:tcPr>
            <w:tcW w:w="381" w:type="pct"/>
          </w:tcPr>
          <w:p w:rsidR="00C2612E" w:rsidRPr="00BE588F" w:rsidRDefault="00C2612E" w:rsidP="00382FEC">
            <w:pPr>
              <w:rPr>
                <w:rFonts w:cs="Times New Roman"/>
                <w:lang w:val="fr-CA"/>
              </w:rPr>
            </w:pPr>
          </w:p>
        </w:tc>
        <w:tc>
          <w:tcPr>
            <w:tcW w:w="2350" w:type="pct"/>
          </w:tcPr>
          <w:p w:rsidR="00C2612E" w:rsidRPr="00BE588F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BE588F" w:rsidTr="00F47372">
        <w:tc>
          <w:tcPr>
            <w:tcW w:w="2269" w:type="pct"/>
            <w:vAlign w:val="center"/>
          </w:tcPr>
          <w:p w:rsidR="00447B19" w:rsidRPr="00BE588F" w:rsidRDefault="002735BF">
            <w:pPr>
              <w:pStyle w:val="SCCLsocPrefix"/>
              <w:rPr>
                <w:rFonts w:cs="Times New Roman"/>
              </w:rPr>
            </w:pPr>
            <w:r w:rsidRPr="00BE588F">
              <w:rPr>
                <w:rFonts w:cs="Times New Roman"/>
              </w:rPr>
              <w:t>BETWEEN:</w:t>
            </w:r>
            <w:r w:rsidRPr="00BE588F">
              <w:rPr>
                <w:rFonts w:cs="Times New Roman"/>
              </w:rPr>
              <w:br/>
            </w:r>
          </w:p>
          <w:p w:rsidR="00447B19" w:rsidRPr="00BE588F" w:rsidRDefault="002735BF">
            <w:pPr>
              <w:pStyle w:val="SCCLsocParty"/>
              <w:rPr>
                <w:rFonts w:cs="Times New Roman"/>
              </w:rPr>
            </w:pPr>
            <w:r w:rsidRPr="00BE588F">
              <w:rPr>
                <w:rFonts w:cs="Times New Roman"/>
              </w:rPr>
              <w:t>Matthew David Spencer</w:t>
            </w:r>
            <w:r w:rsidRPr="00BE588F">
              <w:rPr>
                <w:rFonts w:cs="Times New Roman"/>
              </w:rPr>
              <w:br/>
            </w:r>
          </w:p>
          <w:p w:rsidR="00447B19" w:rsidRPr="00BE588F" w:rsidRDefault="002735BF">
            <w:pPr>
              <w:pStyle w:val="SCCLsocPartyRole"/>
              <w:rPr>
                <w:rFonts w:cs="Times New Roman"/>
              </w:rPr>
            </w:pPr>
            <w:r w:rsidRPr="00BE588F">
              <w:rPr>
                <w:rFonts w:cs="Times New Roman"/>
              </w:rPr>
              <w:t>Applicant</w:t>
            </w:r>
            <w:r w:rsidRPr="00BE588F">
              <w:rPr>
                <w:rFonts w:cs="Times New Roman"/>
              </w:rPr>
              <w:br/>
            </w:r>
          </w:p>
          <w:p w:rsidR="00447B19" w:rsidRPr="00BE588F" w:rsidRDefault="002735BF">
            <w:pPr>
              <w:pStyle w:val="SCCLsocVersus"/>
              <w:rPr>
                <w:rFonts w:cs="Times New Roman"/>
              </w:rPr>
            </w:pPr>
            <w:r w:rsidRPr="00BE588F">
              <w:rPr>
                <w:rFonts w:cs="Times New Roman"/>
              </w:rPr>
              <w:t>- and -</w:t>
            </w:r>
            <w:r w:rsidRPr="00BE588F">
              <w:rPr>
                <w:rFonts w:cs="Times New Roman"/>
              </w:rPr>
              <w:br/>
            </w:r>
          </w:p>
          <w:p w:rsidR="00447B19" w:rsidRPr="00BE588F" w:rsidRDefault="002735BF">
            <w:pPr>
              <w:pStyle w:val="SCCLsocParty"/>
              <w:rPr>
                <w:rFonts w:cs="Times New Roman"/>
              </w:rPr>
            </w:pPr>
            <w:r w:rsidRPr="00BE588F">
              <w:rPr>
                <w:rFonts w:cs="Times New Roman"/>
              </w:rPr>
              <w:t>Her Majesty the Queen</w:t>
            </w:r>
            <w:r w:rsidRPr="00BE588F">
              <w:rPr>
                <w:rFonts w:cs="Times New Roman"/>
              </w:rPr>
              <w:br/>
            </w:r>
          </w:p>
          <w:p w:rsidR="00447B19" w:rsidRPr="00BE588F" w:rsidRDefault="002735BF">
            <w:pPr>
              <w:pStyle w:val="SCCLsocPartyRole"/>
              <w:rPr>
                <w:rFonts w:cs="Times New Roman"/>
              </w:rPr>
            </w:pPr>
            <w:r w:rsidRPr="00BE588F">
              <w:rPr>
                <w:rFonts w:cs="Times New Roman"/>
              </w:rPr>
              <w:t>Respondent</w:t>
            </w:r>
          </w:p>
        </w:tc>
        <w:tc>
          <w:tcPr>
            <w:tcW w:w="381" w:type="pct"/>
            <w:vAlign w:val="center"/>
          </w:tcPr>
          <w:p w:rsidR="00824412" w:rsidRPr="00BE588F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vAlign w:val="center"/>
          </w:tcPr>
          <w:p w:rsidR="00447B19" w:rsidRPr="00BE588F" w:rsidRDefault="002735BF">
            <w:pPr>
              <w:pStyle w:val="SCCLsocPrefix"/>
              <w:rPr>
                <w:rFonts w:cs="Times New Roman"/>
                <w:lang w:val="fr-CA"/>
              </w:rPr>
            </w:pPr>
            <w:r w:rsidRPr="00BE588F">
              <w:rPr>
                <w:rFonts w:cs="Times New Roman"/>
                <w:lang w:val="fr-CA"/>
              </w:rPr>
              <w:t>ENTRE :</w:t>
            </w:r>
            <w:r w:rsidRPr="00BE588F">
              <w:rPr>
                <w:rFonts w:cs="Times New Roman"/>
                <w:lang w:val="fr-CA"/>
              </w:rPr>
              <w:br/>
            </w:r>
          </w:p>
          <w:p w:rsidR="00447B19" w:rsidRPr="00BE588F" w:rsidRDefault="002735BF">
            <w:pPr>
              <w:pStyle w:val="SCCLsocParty"/>
              <w:rPr>
                <w:rFonts w:cs="Times New Roman"/>
                <w:lang w:val="fr-CA"/>
              </w:rPr>
            </w:pPr>
            <w:r w:rsidRPr="00BE588F">
              <w:rPr>
                <w:rFonts w:cs="Times New Roman"/>
                <w:lang w:val="fr-CA"/>
              </w:rPr>
              <w:t>Matthew David Spencer</w:t>
            </w:r>
            <w:r w:rsidRPr="00BE588F">
              <w:rPr>
                <w:rFonts w:cs="Times New Roman"/>
                <w:lang w:val="fr-CA"/>
              </w:rPr>
              <w:br/>
            </w:r>
          </w:p>
          <w:p w:rsidR="00447B19" w:rsidRPr="00BE588F" w:rsidRDefault="002735BF">
            <w:pPr>
              <w:pStyle w:val="SCCLsocPartyRole"/>
              <w:rPr>
                <w:rFonts w:cs="Times New Roman"/>
                <w:lang w:val="fr-CA"/>
              </w:rPr>
            </w:pPr>
            <w:r w:rsidRPr="00BE588F">
              <w:rPr>
                <w:rFonts w:cs="Times New Roman"/>
                <w:lang w:val="fr-CA"/>
              </w:rPr>
              <w:t>Demandeur</w:t>
            </w:r>
            <w:r w:rsidRPr="00BE588F">
              <w:rPr>
                <w:rFonts w:cs="Times New Roman"/>
                <w:lang w:val="fr-CA"/>
              </w:rPr>
              <w:br/>
            </w:r>
          </w:p>
          <w:p w:rsidR="00447B19" w:rsidRPr="00BE588F" w:rsidRDefault="002735BF">
            <w:pPr>
              <w:pStyle w:val="SCCLsocVersus"/>
              <w:rPr>
                <w:rFonts w:cs="Times New Roman"/>
                <w:lang w:val="fr-CA"/>
              </w:rPr>
            </w:pPr>
            <w:r w:rsidRPr="00BE588F">
              <w:rPr>
                <w:rFonts w:cs="Times New Roman"/>
                <w:lang w:val="fr-CA"/>
              </w:rPr>
              <w:t>- et -</w:t>
            </w:r>
            <w:r w:rsidRPr="00BE588F">
              <w:rPr>
                <w:rFonts w:cs="Times New Roman"/>
                <w:lang w:val="fr-CA"/>
              </w:rPr>
              <w:br/>
            </w:r>
          </w:p>
          <w:p w:rsidR="00447B19" w:rsidRPr="00BE588F" w:rsidRDefault="002735BF">
            <w:pPr>
              <w:pStyle w:val="SCCLsocParty"/>
              <w:rPr>
                <w:rFonts w:cs="Times New Roman"/>
                <w:lang w:val="fr-CA"/>
              </w:rPr>
            </w:pPr>
            <w:r w:rsidRPr="00BE588F">
              <w:rPr>
                <w:rFonts w:cs="Times New Roman"/>
                <w:lang w:val="fr-CA"/>
              </w:rPr>
              <w:t>Sa Majesté la Reine</w:t>
            </w:r>
            <w:r w:rsidRPr="00BE588F">
              <w:rPr>
                <w:rFonts w:cs="Times New Roman"/>
                <w:lang w:val="fr-CA"/>
              </w:rPr>
              <w:br/>
            </w:r>
          </w:p>
          <w:p w:rsidR="00447B19" w:rsidRPr="00BE588F" w:rsidRDefault="002735BF" w:rsidP="007D724F">
            <w:pPr>
              <w:pStyle w:val="SCCLsocPartyRole"/>
              <w:rPr>
                <w:rFonts w:cs="Times New Roman"/>
              </w:rPr>
            </w:pPr>
            <w:r w:rsidRPr="00BE588F">
              <w:rPr>
                <w:rFonts w:cs="Times New Roman"/>
              </w:rPr>
              <w:t>Intimée</w:t>
            </w:r>
          </w:p>
        </w:tc>
      </w:tr>
      <w:tr w:rsidR="00824412" w:rsidRPr="00BE588F" w:rsidTr="00F47372">
        <w:tc>
          <w:tcPr>
            <w:tcW w:w="2269" w:type="pct"/>
            <w:vAlign w:val="center"/>
          </w:tcPr>
          <w:p w:rsidR="00824412" w:rsidRPr="00BE588F" w:rsidRDefault="00824412" w:rsidP="00375294">
            <w:pPr>
              <w:rPr>
                <w:rFonts w:cs="Times New Roman"/>
              </w:rPr>
            </w:pPr>
          </w:p>
          <w:p w:rsidR="00824412" w:rsidRPr="00BE588F" w:rsidRDefault="00824412" w:rsidP="00375294">
            <w:pPr>
              <w:rPr>
                <w:rFonts w:cs="Times New Roman"/>
              </w:rPr>
            </w:pPr>
          </w:p>
        </w:tc>
        <w:tc>
          <w:tcPr>
            <w:tcW w:w="381" w:type="pct"/>
            <w:vAlign w:val="center"/>
          </w:tcPr>
          <w:p w:rsidR="00824412" w:rsidRPr="00BE588F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vAlign w:val="center"/>
          </w:tcPr>
          <w:p w:rsidR="00824412" w:rsidRPr="00BE588F" w:rsidRDefault="00824412" w:rsidP="00B408F8">
            <w:pPr>
              <w:rPr>
                <w:rFonts w:cs="Times New Roman"/>
                <w:lang w:val="en-US"/>
              </w:rPr>
            </w:pPr>
          </w:p>
        </w:tc>
      </w:tr>
      <w:tr w:rsidR="00824412" w:rsidRPr="001C12A4" w:rsidTr="00F47372">
        <w:tc>
          <w:tcPr>
            <w:tcW w:w="2269" w:type="pct"/>
          </w:tcPr>
          <w:p w:rsidR="00824412" w:rsidRPr="00BE588F" w:rsidRDefault="00824412" w:rsidP="00C2612E">
            <w:pPr>
              <w:jc w:val="center"/>
              <w:rPr>
                <w:rFonts w:cs="Times New Roman"/>
              </w:rPr>
            </w:pPr>
            <w:r w:rsidRPr="00BE588F">
              <w:rPr>
                <w:rFonts w:cs="Times New Roman"/>
              </w:rPr>
              <w:t>JUDGMENT</w:t>
            </w:r>
          </w:p>
          <w:p w:rsidR="00824412" w:rsidRPr="00BE588F" w:rsidRDefault="00824412" w:rsidP="00417FB7">
            <w:pPr>
              <w:jc w:val="center"/>
              <w:rPr>
                <w:rFonts w:cs="Times New Roman"/>
              </w:rPr>
            </w:pPr>
          </w:p>
          <w:p w:rsidR="00824412" w:rsidRPr="00BE588F" w:rsidRDefault="00464143" w:rsidP="00BE588F">
            <w:pPr>
              <w:jc w:val="both"/>
              <w:rPr>
                <w:rFonts w:cs="Times New Roman"/>
              </w:rPr>
            </w:pPr>
            <w:r w:rsidRPr="00BE588F">
              <w:rPr>
                <w:rFonts w:cs="Times New Roman"/>
              </w:rPr>
              <w:t xml:space="preserve">The motion for an extension of time to serve and file the application for leave to appeal is granted. </w:t>
            </w:r>
            <w:r w:rsidR="00916166" w:rsidRPr="00BE588F">
              <w:rPr>
                <w:rFonts w:cs="Times New Roman"/>
              </w:rPr>
              <w:t xml:space="preserve">The motion to appoint counsel is dismissed </w:t>
            </w:r>
            <w:r w:rsidR="00015BB0" w:rsidRPr="00BE588F">
              <w:rPr>
                <w:rFonts w:cs="Times New Roman"/>
              </w:rPr>
              <w:t xml:space="preserve">without prejudice to the right of </w:t>
            </w:r>
            <w:r w:rsidR="00916166" w:rsidRPr="00BE588F">
              <w:rPr>
                <w:rFonts w:cs="Times New Roman"/>
              </w:rPr>
              <w:t xml:space="preserve">the </w:t>
            </w:r>
            <w:r w:rsidR="000F024D" w:rsidRPr="00BE588F">
              <w:rPr>
                <w:rFonts w:cs="Times New Roman"/>
              </w:rPr>
              <w:t>applicant</w:t>
            </w:r>
            <w:r w:rsidR="00916166" w:rsidRPr="00BE588F">
              <w:rPr>
                <w:rFonts w:cs="Times New Roman"/>
              </w:rPr>
              <w:t xml:space="preserve"> to </w:t>
            </w:r>
            <w:r w:rsidR="00015BB0" w:rsidRPr="00BE588F">
              <w:rPr>
                <w:rFonts w:cs="Times New Roman"/>
              </w:rPr>
              <w:t>re</w:t>
            </w:r>
            <w:r w:rsidR="00916166" w:rsidRPr="00BE588F">
              <w:rPr>
                <w:rFonts w:cs="Times New Roman"/>
              </w:rPr>
              <w:t>apply for the ap</w:t>
            </w:r>
            <w:r w:rsidR="00D34D35" w:rsidRPr="00BE588F">
              <w:rPr>
                <w:rFonts w:cs="Times New Roman"/>
              </w:rPr>
              <w:t>pointment of counsel after leave to appeal</w:t>
            </w:r>
            <w:r w:rsidR="00472109" w:rsidRPr="00BE588F">
              <w:rPr>
                <w:rFonts w:cs="Times New Roman"/>
              </w:rPr>
              <w:t xml:space="preserve"> is granted</w:t>
            </w:r>
            <w:r w:rsidR="00916166" w:rsidRPr="00BE588F">
              <w:rPr>
                <w:rFonts w:cs="Times New Roman"/>
              </w:rPr>
              <w:t xml:space="preserve">. </w:t>
            </w:r>
            <w:r w:rsidR="00824412" w:rsidRPr="00BE588F">
              <w:rPr>
                <w:rFonts w:cs="Times New Roman"/>
              </w:rPr>
              <w:t>The app</w:t>
            </w:r>
            <w:r w:rsidR="00011960" w:rsidRPr="00BE588F">
              <w:rPr>
                <w:rFonts w:cs="Times New Roman"/>
              </w:rPr>
              <w:t xml:space="preserve">lication for leave to appeal from the </w:t>
            </w:r>
            <w:r w:rsidR="00011960" w:rsidRPr="00BE588F">
              <w:rPr>
                <w:rFonts w:cs="Times New Roman"/>
              </w:rPr>
              <w:lastRenderedPageBreak/>
              <w:t>judgment of the</w:t>
            </w:r>
            <w:bookmarkStart w:id="0" w:name="BM_1_"/>
            <w:bookmarkEnd w:id="0"/>
            <w:r w:rsidR="00824412" w:rsidRPr="00BE588F">
              <w:rPr>
                <w:rFonts w:cs="Times New Roman"/>
              </w:rPr>
              <w:t xml:space="preserve"> Court of Appeal for Saskatchewan, Number</w:t>
            </w:r>
            <w:r w:rsidR="006F31BA" w:rsidRPr="00BE588F">
              <w:rPr>
                <w:rFonts w:cs="Times New Roman"/>
              </w:rPr>
              <w:t>s</w:t>
            </w:r>
            <w:r w:rsidR="00824412" w:rsidRPr="00BE588F">
              <w:rPr>
                <w:rFonts w:cs="Times New Roman"/>
              </w:rPr>
              <w:t xml:space="preserve"> 1857-CR</w:t>
            </w:r>
            <w:r w:rsidR="006F31BA" w:rsidRPr="00BE588F">
              <w:rPr>
                <w:rFonts w:cs="Times New Roman"/>
              </w:rPr>
              <w:t xml:space="preserve"> and</w:t>
            </w:r>
            <w:r w:rsidR="00824412" w:rsidRPr="00BE588F">
              <w:rPr>
                <w:rFonts w:cs="Times New Roman"/>
              </w:rPr>
              <w:t xml:space="preserve"> 1862-CR, 2011 SKCA 144, dated November 25, 2011</w:t>
            </w:r>
            <w:r w:rsidR="00552673" w:rsidRPr="00BE588F">
              <w:rPr>
                <w:rFonts w:cs="Times New Roman"/>
              </w:rPr>
              <w:t>,</w:t>
            </w:r>
            <w:r w:rsidR="00824412" w:rsidRPr="00BE588F">
              <w:rPr>
                <w:rFonts w:cs="Times New Roman"/>
              </w:rPr>
              <w:t xml:space="preserve"> is </w:t>
            </w:r>
            <w:r w:rsidR="00552673" w:rsidRPr="00BE588F">
              <w:rPr>
                <w:rFonts w:cs="Times New Roman"/>
              </w:rPr>
              <w:t xml:space="preserve">granted </w:t>
            </w:r>
            <w:r w:rsidR="001D2043" w:rsidRPr="00BE588F">
              <w:rPr>
                <w:rFonts w:cs="Times New Roman"/>
              </w:rPr>
              <w:t xml:space="preserve">without costs, </w:t>
            </w:r>
            <w:r w:rsidR="00472109" w:rsidRPr="00BE588F">
              <w:rPr>
                <w:rFonts w:cs="Times New Roman"/>
              </w:rPr>
              <w:t xml:space="preserve">but </w:t>
            </w:r>
            <w:r w:rsidR="00552673" w:rsidRPr="00BE588F">
              <w:rPr>
                <w:rFonts w:cs="Times New Roman"/>
              </w:rPr>
              <w:t xml:space="preserve">only on </w:t>
            </w:r>
            <w:r w:rsidR="001D2043" w:rsidRPr="00BE588F">
              <w:rPr>
                <w:rFonts w:cs="Times New Roman"/>
              </w:rPr>
              <w:t xml:space="preserve">the </w:t>
            </w:r>
            <w:r w:rsidR="00472109" w:rsidRPr="00BE588F">
              <w:rPr>
                <w:rFonts w:cs="Times New Roman"/>
              </w:rPr>
              <w:t xml:space="preserve">issues with respect to </w:t>
            </w:r>
            <w:r w:rsidR="00552673" w:rsidRPr="00BE588F">
              <w:rPr>
                <w:rFonts w:cs="Times New Roman"/>
              </w:rPr>
              <w:t>s</w:t>
            </w:r>
            <w:r w:rsidR="00DA0E0F" w:rsidRPr="00BE588F">
              <w:rPr>
                <w:rFonts w:cs="Times New Roman"/>
              </w:rPr>
              <w:t>. </w:t>
            </w:r>
            <w:r w:rsidR="00552673" w:rsidRPr="00BE588F">
              <w:rPr>
                <w:rFonts w:cs="Times New Roman"/>
              </w:rPr>
              <w:t xml:space="preserve">8 of the </w:t>
            </w:r>
            <w:r w:rsidR="00552673" w:rsidRPr="00BE588F">
              <w:rPr>
                <w:rFonts w:cs="Times New Roman"/>
                <w:i/>
              </w:rPr>
              <w:t>Charter</w:t>
            </w:r>
            <w:r w:rsidR="00552673" w:rsidRPr="00BE588F">
              <w:rPr>
                <w:rFonts w:cs="Times New Roman"/>
              </w:rPr>
              <w:t xml:space="preserve"> and </w:t>
            </w:r>
            <w:r w:rsidR="00552673" w:rsidRPr="00BE588F">
              <w:rPr>
                <w:rFonts w:cs="Times New Roman"/>
                <w:i/>
              </w:rPr>
              <w:t>mens rea</w:t>
            </w:r>
            <w:r w:rsidR="00824412" w:rsidRPr="00BE588F">
              <w:rPr>
                <w:rFonts w:cs="Times New Roman"/>
              </w:rPr>
              <w:t>.</w:t>
            </w:r>
          </w:p>
        </w:tc>
        <w:tc>
          <w:tcPr>
            <w:tcW w:w="381" w:type="pct"/>
          </w:tcPr>
          <w:p w:rsidR="00824412" w:rsidRPr="00BE588F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:rsidR="00824412" w:rsidRPr="00BE588F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BE588F">
              <w:rPr>
                <w:rFonts w:cs="Times New Roman"/>
                <w:lang w:val="fr-CA"/>
              </w:rPr>
              <w:t>JUGEMENT</w:t>
            </w:r>
          </w:p>
          <w:p w:rsidR="00824412" w:rsidRPr="00BE588F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BE588F" w:rsidRDefault="00EF03D3" w:rsidP="001C12A4">
            <w:pPr>
              <w:jc w:val="both"/>
              <w:rPr>
                <w:rFonts w:cs="Times New Roman"/>
                <w:lang w:val="fr-CA"/>
              </w:rPr>
            </w:pPr>
            <w:r w:rsidRPr="00BE588F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 La requête en nomination d’un avocat est rejetée, sous réserve du droit d</w:t>
            </w:r>
            <w:r w:rsidR="001C12A4">
              <w:rPr>
                <w:rFonts w:cs="Times New Roman"/>
                <w:lang w:val="fr-CA"/>
              </w:rPr>
              <w:t>u demandeur</w:t>
            </w:r>
            <w:r w:rsidRPr="00BE588F">
              <w:rPr>
                <w:rFonts w:cs="Times New Roman"/>
                <w:lang w:val="fr-CA"/>
              </w:rPr>
              <w:t xml:space="preserve"> de </w:t>
            </w:r>
            <w:r w:rsidR="00242B91" w:rsidRPr="00BE588F">
              <w:rPr>
                <w:rFonts w:cs="Times New Roman"/>
                <w:lang w:val="fr-CA"/>
              </w:rPr>
              <w:t>présenter une nouvelle demande de désignation d’un avocat</w:t>
            </w:r>
            <w:r w:rsidRPr="00BE588F">
              <w:rPr>
                <w:rFonts w:cs="Times New Roman"/>
                <w:lang w:val="fr-CA"/>
              </w:rPr>
              <w:t xml:space="preserve"> une fois sa demande </w:t>
            </w:r>
            <w:r w:rsidRPr="00BE588F">
              <w:rPr>
                <w:rFonts w:cs="Times New Roman"/>
                <w:lang w:val="fr-CA"/>
              </w:rPr>
              <w:lastRenderedPageBreak/>
              <w:t xml:space="preserve">d’autorisation d’appel accueillie.  La demande d’autorisation d’appel de l’arrêt de la Cour d’appel de la Saskatchewan, numéros 1857-CR et 1862-CR, 2011 SKCA 144, daté du 25 novembre 2011, est accueillie sans dépens, uniquement sur les questions relatives à l’article 8 de la </w:t>
            </w:r>
            <w:r w:rsidRPr="00BE588F">
              <w:rPr>
                <w:rFonts w:cs="Times New Roman"/>
                <w:i/>
                <w:lang w:val="fr-CA"/>
              </w:rPr>
              <w:t>Charte</w:t>
            </w:r>
            <w:r w:rsidRPr="00BE588F">
              <w:rPr>
                <w:rFonts w:cs="Times New Roman"/>
                <w:lang w:val="fr-CA"/>
              </w:rPr>
              <w:t xml:space="preserve"> et à la </w:t>
            </w:r>
            <w:r w:rsidRPr="00BE588F">
              <w:rPr>
                <w:rFonts w:cs="Times New Roman"/>
                <w:i/>
                <w:lang w:val="fr-CA"/>
              </w:rPr>
              <w:t>mens rea</w:t>
            </w:r>
            <w:r w:rsidRPr="00BE588F">
              <w:rPr>
                <w:rFonts w:cs="Times New Roman"/>
                <w:lang w:val="fr-CA"/>
              </w:rPr>
              <w:t>.</w:t>
            </w:r>
          </w:p>
        </w:tc>
      </w:tr>
    </w:tbl>
    <w:p w:rsidR="009F436C" w:rsidRPr="00BE588F" w:rsidRDefault="009F436C" w:rsidP="00382FEC">
      <w:pPr>
        <w:rPr>
          <w:rFonts w:cs="Times New Roman"/>
          <w:lang w:val="fr-CA"/>
        </w:rPr>
      </w:pPr>
    </w:p>
    <w:p w:rsidR="009F436C" w:rsidRPr="00BE588F" w:rsidRDefault="009F436C" w:rsidP="00417FB7">
      <w:pPr>
        <w:jc w:val="center"/>
        <w:rPr>
          <w:rFonts w:cs="Times New Roman"/>
          <w:lang w:val="fr-CA"/>
        </w:rPr>
      </w:pPr>
    </w:p>
    <w:p w:rsidR="009F436C" w:rsidRPr="00BE588F" w:rsidRDefault="009F436C" w:rsidP="00417FB7">
      <w:pPr>
        <w:jc w:val="center"/>
        <w:rPr>
          <w:rFonts w:cs="Times New Roman"/>
          <w:lang w:val="fr-CA"/>
        </w:rPr>
      </w:pPr>
    </w:p>
    <w:p w:rsidR="009F436C" w:rsidRPr="00BE588F" w:rsidRDefault="003A37CF" w:rsidP="00417FB7">
      <w:pPr>
        <w:jc w:val="center"/>
        <w:rPr>
          <w:rFonts w:cs="Times New Roman"/>
          <w:lang w:val="fr-CA"/>
        </w:rPr>
      </w:pPr>
      <w:r w:rsidRPr="00BE588F">
        <w:rPr>
          <w:rFonts w:cs="Times New Roman"/>
          <w:lang w:val="fr-CA"/>
        </w:rPr>
        <w:t>J.S.C.C.</w:t>
      </w:r>
    </w:p>
    <w:p w:rsidR="003A37CF" w:rsidRPr="00BE588F" w:rsidRDefault="003A37CF" w:rsidP="00552673">
      <w:pPr>
        <w:jc w:val="center"/>
        <w:rPr>
          <w:rFonts w:cs="Times New Roman"/>
          <w:lang w:val="fr-CA"/>
        </w:rPr>
      </w:pPr>
      <w:r w:rsidRPr="00BE588F">
        <w:rPr>
          <w:rFonts w:cs="Times New Roman"/>
          <w:lang w:val="fr-CA"/>
        </w:rPr>
        <w:t>J.C.S.C.</w:t>
      </w:r>
      <w:r w:rsidR="00552673" w:rsidRPr="00BE588F">
        <w:rPr>
          <w:rFonts w:cs="Times New Roman"/>
          <w:lang w:val="fr-CA"/>
        </w:rPr>
        <w:t xml:space="preserve"> </w:t>
      </w:r>
    </w:p>
    <w:sectPr w:rsidR="003A37CF" w:rsidRPr="00BE588F" w:rsidSect="00552673">
      <w:headerReference w:type="default" r:id="rId6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17FA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17FA5" w:rsidRPr="00417FB7">
      <w:rPr>
        <w:szCs w:val="24"/>
      </w:rPr>
      <w:fldChar w:fldCharType="separate"/>
    </w:r>
    <w:r w:rsidR="001C12A4">
      <w:rPr>
        <w:noProof/>
        <w:szCs w:val="24"/>
      </w:rPr>
      <w:t>2</w:t>
    </w:r>
    <w:r w:rsidR="00C17FA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5BB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024D"/>
    <w:rsid w:val="0016666F"/>
    <w:rsid w:val="00167C15"/>
    <w:rsid w:val="0018544C"/>
    <w:rsid w:val="001C12A4"/>
    <w:rsid w:val="001D0116"/>
    <w:rsid w:val="001D2043"/>
    <w:rsid w:val="001D4323"/>
    <w:rsid w:val="00203642"/>
    <w:rsid w:val="00242B91"/>
    <w:rsid w:val="002523DE"/>
    <w:rsid w:val="002568D3"/>
    <w:rsid w:val="0027284C"/>
    <w:rsid w:val="002735BF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86924"/>
    <w:rsid w:val="003A37CF"/>
    <w:rsid w:val="003B1F3D"/>
    <w:rsid w:val="00414694"/>
    <w:rsid w:val="00417FB7"/>
    <w:rsid w:val="0042783F"/>
    <w:rsid w:val="00447B19"/>
    <w:rsid w:val="00464143"/>
    <w:rsid w:val="00472109"/>
    <w:rsid w:val="004943CF"/>
    <w:rsid w:val="004956DA"/>
    <w:rsid w:val="004D4658"/>
    <w:rsid w:val="004E039A"/>
    <w:rsid w:val="004E1B3A"/>
    <w:rsid w:val="004E6589"/>
    <w:rsid w:val="00507A37"/>
    <w:rsid w:val="00552673"/>
    <w:rsid w:val="00563E2C"/>
    <w:rsid w:val="00587869"/>
    <w:rsid w:val="00612913"/>
    <w:rsid w:val="00614908"/>
    <w:rsid w:val="0062079C"/>
    <w:rsid w:val="00621A61"/>
    <w:rsid w:val="00650109"/>
    <w:rsid w:val="006E7BAE"/>
    <w:rsid w:val="006F31BA"/>
    <w:rsid w:val="00701109"/>
    <w:rsid w:val="007372EA"/>
    <w:rsid w:val="0079129C"/>
    <w:rsid w:val="007917FE"/>
    <w:rsid w:val="007A54CC"/>
    <w:rsid w:val="007C2A00"/>
    <w:rsid w:val="007C5DE8"/>
    <w:rsid w:val="007D724F"/>
    <w:rsid w:val="007E68C7"/>
    <w:rsid w:val="00816B78"/>
    <w:rsid w:val="00821675"/>
    <w:rsid w:val="00824412"/>
    <w:rsid w:val="008262A3"/>
    <w:rsid w:val="00830BBE"/>
    <w:rsid w:val="00842246"/>
    <w:rsid w:val="0086042A"/>
    <w:rsid w:val="008763A3"/>
    <w:rsid w:val="008813BC"/>
    <w:rsid w:val="008A153F"/>
    <w:rsid w:val="008A3F35"/>
    <w:rsid w:val="008C5D20"/>
    <w:rsid w:val="008F53F3"/>
    <w:rsid w:val="00916166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3623"/>
    <w:rsid w:val="00B158E3"/>
    <w:rsid w:val="00B3044A"/>
    <w:rsid w:val="00B408F8"/>
    <w:rsid w:val="00B5078E"/>
    <w:rsid w:val="00B60EDC"/>
    <w:rsid w:val="00BD4E4C"/>
    <w:rsid w:val="00BE118E"/>
    <w:rsid w:val="00BE588F"/>
    <w:rsid w:val="00BF1CB8"/>
    <w:rsid w:val="00BF7644"/>
    <w:rsid w:val="00C1285B"/>
    <w:rsid w:val="00C17FA5"/>
    <w:rsid w:val="00C2612E"/>
    <w:rsid w:val="00CE249F"/>
    <w:rsid w:val="00CE6228"/>
    <w:rsid w:val="00CE7EA4"/>
    <w:rsid w:val="00CF17D0"/>
    <w:rsid w:val="00CF6A65"/>
    <w:rsid w:val="00D34D35"/>
    <w:rsid w:val="00D42339"/>
    <w:rsid w:val="00D61AC2"/>
    <w:rsid w:val="00D83B8C"/>
    <w:rsid w:val="00DA0D75"/>
    <w:rsid w:val="00DA0E0F"/>
    <w:rsid w:val="00DD61C1"/>
    <w:rsid w:val="00E12A51"/>
    <w:rsid w:val="00E777AD"/>
    <w:rsid w:val="00EA4B61"/>
    <w:rsid w:val="00EE2A6C"/>
    <w:rsid w:val="00EF03D3"/>
    <w:rsid w:val="00EF6754"/>
    <w:rsid w:val="00F06BF6"/>
    <w:rsid w:val="00F1759D"/>
    <w:rsid w:val="00F20569"/>
    <w:rsid w:val="00F357C6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2013-01-18T16:44:00Z</dcterms:created>
  <dcterms:modified xsi:type="dcterms:W3CDTF">2013-01-22T14:41:00Z</dcterms:modified>
</cp:coreProperties>
</file>