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4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349"/>
        <w:gridCol w:w="718"/>
        <w:gridCol w:w="4426"/>
      </w:tblGrid>
      <w:tr w:rsidR="00417FB7" w:rsidRPr="006E7BAE" w:rsidTr="007A2DD5">
        <w:tc>
          <w:tcPr>
            <w:tcW w:w="2291" w:type="pct"/>
          </w:tcPr>
          <w:p w:rsidR="00417FB7" w:rsidRPr="006E7BAE" w:rsidRDefault="007A2DD5" w:rsidP="008262A3">
            <w:r>
              <w:t>February 14</w:t>
            </w:r>
            <w:r w:rsidR="00EE2A6C">
              <w:t>, 2013</w:t>
            </w:r>
          </w:p>
        </w:tc>
        <w:tc>
          <w:tcPr>
            <w:tcW w:w="378" w:type="pct"/>
          </w:tcPr>
          <w:p w:rsidR="00417FB7" w:rsidRPr="006E7BAE" w:rsidRDefault="00417FB7" w:rsidP="00382FEC"/>
        </w:tc>
        <w:tc>
          <w:tcPr>
            <w:tcW w:w="2331" w:type="pct"/>
          </w:tcPr>
          <w:p w:rsidR="00417FB7" w:rsidRPr="00D83B8C" w:rsidRDefault="00EE2A6C" w:rsidP="007A2DD5">
            <w:pPr>
              <w:rPr>
                <w:lang w:val="en-US"/>
              </w:rPr>
            </w:pPr>
            <w:r>
              <w:t xml:space="preserve">Le </w:t>
            </w:r>
            <w:r w:rsidR="007A2DD5">
              <w:t xml:space="preserve">14 </w:t>
            </w:r>
            <w:proofErr w:type="spellStart"/>
            <w:r w:rsidR="007A2DD5"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7A2DD5">
        <w:tc>
          <w:tcPr>
            <w:tcW w:w="2291" w:type="pct"/>
          </w:tcPr>
          <w:p w:rsidR="00C2612E" w:rsidRPr="006E7BAE" w:rsidRDefault="00C2612E" w:rsidP="008262A3"/>
        </w:tc>
        <w:tc>
          <w:tcPr>
            <w:tcW w:w="378" w:type="pct"/>
          </w:tcPr>
          <w:p w:rsidR="00E12A51" w:rsidRPr="006E7BAE" w:rsidRDefault="00E12A51" w:rsidP="00382FEC"/>
        </w:tc>
        <w:tc>
          <w:tcPr>
            <w:tcW w:w="2331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5CF2" w:rsidTr="007A2DD5">
        <w:tc>
          <w:tcPr>
            <w:tcW w:w="229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78" w:type="pct"/>
          </w:tcPr>
          <w:p w:rsidR="00417FB7" w:rsidRPr="006E7BAE" w:rsidRDefault="00417FB7" w:rsidP="00382FEC"/>
        </w:tc>
        <w:tc>
          <w:tcPr>
            <w:tcW w:w="2331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2DD5">
              <w:rPr>
                <w:lang w:val="fr-CA"/>
              </w:rPr>
              <w:t>La juge en chef McLachlin et les juges Abella et Cromwell</w:t>
            </w:r>
          </w:p>
        </w:tc>
      </w:tr>
      <w:tr w:rsidR="007A2DD5" w:rsidRPr="009B5CF2" w:rsidTr="007A2DD5">
        <w:tc>
          <w:tcPr>
            <w:tcW w:w="2291" w:type="pct"/>
          </w:tcPr>
          <w:p w:rsidR="007A2DD5" w:rsidRPr="007A2DD5" w:rsidRDefault="007A2DD5" w:rsidP="008262A3">
            <w:pPr>
              <w:rPr>
                <w:lang w:val="fr-CA"/>
              </w:rPr>
            </w:pPr>
          </w:p>
        </w:tc>
        <w:tc>
          <w:tcPr>
            <w:tcW w:w="378" w:type="pct"/>
          </w:tcPr>
          <w:p w:rsidR="007A2DD5" w:rsidRPr="007A2DD5" w:rsidRDefault="007A2DD5" w:rsidP="00382FEC">
            <w:pPr>
              <w:rPr>
                <w:lang w:val="fr-CA"/>
              </w:rPr>
            </w:pPr>
          </w:p>
        </w:tc>
        <w:tc>
          <w:tcPr>
            <w:tcW w:w="2331" w:type="pct"/>
          </w:tcPr>
          <w:p w:rsidR="007A2DD5" w:rsidRPr="006E7BAE" w:rsidRDefault="007A2DD5" w:rsidP="00382FEC">
            <w:pPr>
              <w:rPr>
                <w:lang w:val="fr-CA"/>
              </w:rPr>
            </w:pPr>
          </w:p>
        </w:tc>
      </w:tr>
      <w:tr w:rsidR="007A2DD5" w:rsidRPr="007A2DD5" w:rsidTr="007A2DD5">
        <w:tc>
          <w:tcPr>
            <w:tcW w:w="2291" w:type="pct"/>
          </w:tcPr>
          <w:p w:rsidR="007A2DD5" w:rsidRDefault="007A2DD5" w:rsidP="007A2DD5">
            <w:pPr>
              <w:pStyle w:val="SCCLsocPrefix"/>
            </w:pPr>
            <w:r>
              <w:t>BETWEEN:</w:t>
            </w:r>
            <w:r>
              <w:br/>
            </w:r>
          </w:p>
          <w:p w:rsidR="007A2DD5" w:rsidRDefault="007A2DD5" w:rsidP="007A2DD5">
            <w:pPr>
              <w:pStyle w:val="SCCLsocParty"/>
            </w:pPr>
            <w:proofErr w:type="spellStart"/>
            <w:r>
              <w:t>Jagdish</w:t>
            </w:r>
            <w:proofErr w:type="spellEnd"/>
            <w:r>
              <w:t xml:space="preserve"> Nanda</w:t>
            </w:r>
            <w:r>
              <w:br/>
            </w:r>
          </w:p>
          <w:p w:rsidR="007A2DD5" w:rsidRDefault="007A2DD5" w:rsidP="007A2DD5">
            <w:pPr>
              <w:pStyle w:val="SCCLsocPartyRole"/>
            </w:pPr>
            <w:r>
              <w:t>Applicant</w:t>
            </w:r>
            <w:r>
              <w:br/>
            </w:r>
          </w:p>
          <w:p w:rsidR="007A2DD5" w:rsidRDefault="007A2DD5" w:rsidP="007A2DD5">
            <w:pPr>
              <w:pStyle w:val="SCCLsocVersus"/>
            </w:pPr>
            <w:r>
              <w:t>- and -</w:t>
            </w:r>
            <w:r>
              <w:br/>
            </w:r>
          </w:p>
          <w:p w:rsidR="007A2DD5" w:rsidRPr="007A2DD5" w:rsidRDefault="007A2DD5" w:rsidP="007A2DD5">
            <w:pPr>
              <w:pStyle w:val="SCCLsocParty"/>
              <w:rPr>
                <w:lang w:val="fr-CA"/>
              </w:rPr>
            </w:pPr>
            <w:r w:rsidRPr="007A2DD5">
              <w:rPr>
                <w:lang w:val="fr-CA"/>
              </w:rPr>
              <w:t>Société de l'assurance automobile du Québec</w:t>
            </w:r>
            <w:r w:rsidRPr="007A2DD5">
              <w:rPr>
                <w:lang w:val="fr-CA"/>
              </w:rPr>
              <w:br/>
            </w:r>
          </w:p>
          <w:p w:rsidR="007A2DD5" w:rsidRDefault="007A2DD5" w:rsidP="007A2DD5">
            <w:pPr>
              <w:pStyle w:val="SCCLsocVersus"/>
              <w:rPr>
                <w:lang w:val="fr-CA"/>
              </w:rPr>
            </w:pPr>
            <w:proofErr w:type="spellStart"/>
            <w:r w:rsidRPr="007A2DD5">
              <w:rPr>
                <w:lang w:val="fr-CA"/>
              </w:rPr>
              <w:t>Respondent</w:t>
            </w:r>
            <w:proofErr w:type="spellEnd"/>
          </w:p>
          <w:p w:rsidR="007A2DD5" w:rsidRPr="007A2DD5" w:rsidRDefault="007A2DD5" w:rsidP="007A2DD5">
            <w:pPr>
              <w:pStyle w:val="SCCLsocVersus"/>
              <w:rPr>
                <w:lang w:val="fr-CA"/>
              </w:rPr>
            </w:pPr>
            <w:r w:rsidRPr="007A2DD5">
              <w:rPr>
                <w:lang w:val="fr-CA"/>
              </w:rPr>
              <w:br/>
              <w:t>- and -</w:t>
            </w:r>
            <w:r w:rsidRPr="007A2DD5">
              <w:rPr>
                <w:lang w:val="fr-CA"/>
              </w:rPr>
              <w:br/>
            </w:r>
          </w:p>
          <w:p w:rsidR="007A2DD5" w:rsidRPr="007A2DD5" w:rsidRDefault="007A2DD5" w:rsidP="007A2DD5">
            <w:pPr>
              <w:pStyle w:val="SCCLsocParty"/>
              <w:rPr>
                <w:lang w:val="fr-CA"/>
              </w:rPr>
            </w:pPr>
            <w:r w:rsidRPr="007A2DD5">
              <w:rPr>
                <w:lang w:val="fr-CA"/>
              </w:rPr>
              <w:t>Tribunal administratif du Québec</w:t>
            </w:r>
            <w:r w:rsidRPr="007A2DD5">
              <w:rPr>
                <w:lang w:val="fr-CA"/>
              </w:rPr>
              <w:br/>
            </w:r>
          </w:p>
          <w:p w:rsidR="007A2DD5" w:rsidRPr="007A2DD5" w:rsidRDefault="007A2DD5" w:rsidP="007A2DD5">
            <w:pPr>
              <w:jc w:val="center"/>
              <w:rPr>
                <w:lang w:val="fr-CA"/>
              </w:rPr>
            </w:pPr>
            <w:r>
              <w:t>Intervener</w:t>
            </w:r>
          </w:p>
        </w:tc>
        <w:tc>
          <w:tcPr>
            <w:tcW w:w="378" w:type="pct"/>
          </w:tcPr>
          <w:p w:rsidR="007A2DD5" w:rsidRPr="007A2DD5" w:rsidRDefault="007A2DD5" w:rsidP="00382FEC">
            <w:pPr>
              <w:rPr>
                <w:lang w:val="fr-CA"/>
              </w:rPr>
            </w:pPr>
          </w:p>
        </w:tc>
        <w:tc>
          <w:tcPr>
            <w:tcW w:w="2331" w:type="pct"/>
          </w:tcPr>
          <w:p w:rsidR="007A2DD5" w:rsidRPr="007A2DD5" w:rsidRDefault="007A2DD5" w:rsidP="007A2DD5">
            <w:pPr>
              <w:pStyle w:val="SCCLsocPrefix"/>
              <w:rPr>
                <w:lang w:val="fr-CA"/>
              </w:rPr>
            </w:pPr>
            <w:r w:rsidRPr="007A2DD5">
              <w:rPr>
                <w:lang w:val="fr-CA"/>
              </w:rPr>
              <w:t>ENTRE :</w:t>
            </w:r>
            <w:r w:rsidRPr="007A2DD5">
              <w:rPr>
                <w:lang w:val="fr-CA"/>
              </w:rPr>
              <w:br/>
            </w:r>
          </w:p>
          <w:p w:rsidR="007A2DD5" w:rsidRPr="007A2DD5" w:rsidRDefault="007A2DD5" w:rsidP="007A2DD5">
            <w:pPr>
              <w:pStyle w:val="SCCLsocParty"/>
              <w:rPr>
                <w:lang w:val="fr-CA"/>
              </w:rPr>
            </w:pPr>
            <w:proofErr w:type="spellStart"/>
            <w:r w:rsidRPr="007A2DD5">
              <w:rPr>
                <w:lang w:val="fr-CA"/>
              </w:rPr>
              <w:t>Jagdish</w:t>
            </w:r>
            <w:proofErr w:type="spellEnd"/>
            <w:r w:rsidRPr="007A2DD5">
              <w:rPr>
                <w:lang w:val="fr-CA"/>
              </w:rPr>
              <w:t xml:space="preserve"> </w:t>
            </w:r>
            <w:proofErr w:type="spellStart"/>
            <w:r w:rsidRPr="007A2DD5">
              <w:rPr>
                <w:lang w:val="fr-CA"/>
              </w:rPr>
              <w:t>Nanda</w:t>
            </w:r>
            <w:proofErr w:type="spellEnd"/>
            <w:r w:rsidRPr="007A2DD5">
              <w:rPr>
                <w:lang w:val="fr-CA"/>
              </w:rPr>
              <w:br/>
            </w:r>
          </w:p>
          <w:p w:rsidR="007A2DD5" w:rsidRPr="007A2DD5" w:rsidRDefault="007A2DD5" w:rsidP="007A2D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A2DD5">
              <w:rPr>
                <w:lang w:val="fr-CA"/>
              </w:rPr>
              <w:br/>
            </w:r>
          </w:p>
          <w:p w:rsidR="007A2DD5" w:rsidRPr="007A2DD5" w:rsidRDefault="007A2DD5" w:rsidP="007A2DD5">
            <w:pPr>
              <w:pStyle w:val="SCCLsocVersus"/>
              <w:rPr>
                <w:lang w:val="fr-CA"/>
              </w:rPr>
            </w:pPr>
            <w:r w:rsidRPr="007A2DD5">
              <w:rPr>
                <w:lang w:val="fr-CA"/>
              </w:rPr>
              <w:t>- et -</w:t>
            </w:r>
            <w:r w:rsidRPr="007A2DD5">
              <w:rPr>
                <w:lang w:val="fr-CA"/>
              </w:rPr>
              <w:br/>
            </w:r>
          </w:p>
          <w:p w:rsidR="007A2DD5" w:rsidRPr="007A2DD5" w:rsidRDefault="007A2DD5" w:rsidP="007A2DD5">
            <w:pPr>
              <w:pStyle w:val="SCCLsocParty"/>
              <w:rPr>
                <w:lang w:val="fr-CA"/>
              </w:rPr>
            </w:pPr>
            <w:r w:rsidRPr="007A2DD5">
              <w:rPr>
                <w:lang w:val="fr-CA"/>
              </w:rPr>
              <w:t>Société de l'assurance automobile du Québec</w:t>
            </w:r>
            <w:r w:rsidRPr="007A2DD5">
              <w:rPr>
                <w:lang w:val="fr-CA"/>
              </w:rPr>
              <w:br/>
            </w:r>
          </w:p>
          <w:p w:rsidR="007A2DD5" w:rsidRDefault="007A2DD5" w:rsidP="007A2D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  <w:p w:rsidR="007A2DD5" w:rsidRDefault="007A2DD5" w:rsidP="007A2DD5">
            <w:pPr>
              <w:pStyle w:val="SCCLsocPartyRole"/>
              <w:rPr>
                <w:lang w:val="fr-CA"/>
              </w:rPr>
            </w:pPr>
            <w:r w:rsidRPr="007A2DD5">
              <w:rPr>
                <w:lang w:val="fr-CA"/>
              </w:rPr>
              <w:br/>
              <w:t xml:space="preserve">- et </w:t>
            </w:r>
            <w:r w:rsidR="009B5CF2" w:rsidRPr="007A2DD5">
              <w:rPr>
                <w:lang w:val="fr-CA"/>
              </w:rPr>
              <w:t>-</w:t>
            </w:r>
          </w:p>
          <w:p w:rsidR="007A2DD5" w:rsidRPr="007A2DD5" w:rsidRDefault="007A2DD5" w:rsidP="007A2DD5">
            <w:pPr>
              <w:rPr>
                <w:lang w:val="fr-CA"/>
              </w:rPr>
            </w:pPr>
          </w:p>
          <w:p w:rsidR="007A2DD5" w:rsidRPr="007A2DD5" w:rsidRDefault="007A2DD5" w:rsidP="007A2DD5">
            <w:pPr>
              <w:pStyle w:val="SCCLsocParty"/>
              <w:rPr>
                <w:lang w:val="fr-CA"/>
              </w:rPr>
            </w:pPr>
            <w:r w:rsidRPr="007A2DD5">
              <w:rPr>
                <w:lang w:val="fr-CA"/>
              </w:rPr>
              <w:t>Tribunal administratif du Québec</w:t>
            </w:r>
            <w:r w:rsidRPr="007A2DD5">
              <w:rPr>
                <w:lang w:val="fr-CA"/>
              </w:rPr>
              <w:br/>
            </w:r>
          </w:p>
          <w:p w:rsidR="007A2DD5" w:rsidRPr="006E7BAE" w:rsidRDefault="007A2DD5" w:rsidP="007A2DD5">
            <w:pPr>
              <w:jc w:val="center"/>
              <w:rPr>
                <w:lang w:val="fr-CA"/>
              </w:rPr>
            </w:pPr>
            <w:proofErr w:type="spellStart"/>
            <w:r>
              <w:t>Intervenant</w:t>
            </w:r>
            <w:proofErr w:type="spellEnd"/>
          </w:p>
        </w:tc>
      </w:tr>
      <w:tr w:rsidR="00C2612E" w:rsidRPr="007A2DD5" w:rsidTr="007A2DD5">
        <w:tc>
          <w:tcPr>
            <w:tcW w:w="2291" w:type="pct"/>
          </w:tcPr>
          <w:p w:rsidR="00C2612E" w:rsidRPr="007A2DD5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</w:tcPr>
          <w:p w:rsidR="00C2612E" w:rsidRPr="007A2DD5" w:rsidRDefault="00C2612E" w:rsidP="00382FEC">
            <w:pPr>
              <w:rPr>
                <w:lang w:val="fr-CA"/>
              </w:rPr>
            </w:pPr>
          </w:p>
        </w:tc>
        <w:tc>
          <w:tcPr>
            <w:tcW w:w="2331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A2DD5">
        <w:tc>
          <w:tcPr>
            <w:tcW w:w="2291" w:type="pct"/>
            <w:vAlign w:val="center"/>
          </w:tcPr>
          <w:p w:rsidR="00416066" w:rsidRDefault="00416066">
            <w:pPr>
              <w:pStyle w:val="SCCLsocPartyRole"/>
            </w:pPr>
          </w:p>
        </w:tc>
        <w:tc>
          <w:tcPr>
            <w:tcW w:w="378" w:type="pct"/>
            <w:vAlign w:val="center"/>
          </w:tcPr>
          <w:p w:rsidR="00824412" w:rsidRPr="006E7BAE" w:rsidRDefault="00824412" w:rsidP="00375294"/>
        </w:tc>
        <w:tc>
          <w:tcPr>
            <w:tcW w:w="2331" w:type="pct"/>
            <w:vAlign w:val="center"/>
          </w:tcPr>
          <w:p w:rsidR="00416066" w:rsidRDefault="00416066">
            <w:pPr>
              <w:pStyle w:val="SCCLsocPartyRole"/>
            </w:pPr>
          </w:p>
        </w:tc>
      </w:tr>
    </w:tbl>
    <w:p w:rsidR="007A2DD5" w:rsidRDefault="007A2DD5">
      <w:r>
        <w:br w:type="page"/>
      </w:r>
    </w:p>
    <w:tbl>
      <w:tblPr>
        <w:tblW w:w="504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349"/>
        <w:gridCol w:w="718"/>
        <w:gridCol w:w="4426"/>
      </w:tblGrid>
      <w:tr w:rsidR="00824412" w:rsidRPr="006E7BAE" w:rsidTr="007A2DD5">
        <w:tc>
          <w:tcPr>
            <w:tcW w:w="2291" w:type="pct"/>
            <w:vAlign w:val="center"/>
          </w:tcPr>
          <w:p w:rsidR="00824412" w:rsidRPr="006E7BAE" w:rsidRDefault="00824412" w:rsidP="00375294"/>
        </w:tc>
        <w:tc>
          <w:tcPr>
            <w:tcW w:w="378" w:type="pct"/>
            <w:vAlign w:val="center"/>
          </w:tcPr>
          <w:p w:rsidR="00824412" w:rsidRPr="006E7BAE" w:rsidRDefault="00824412" w:rsidP="00375294"/>
        </w:tc>
        <w:tc>
          <w:tcPr>
            <w:tcW w:w="2331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5CF2" w:rsidTr="007A2DD5">
        <w:tc>
          <w:tcPr>
            <w:tcW w:w="229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01BE0" w:rsidP="007A2DD5">
            <w:pPr>
              <w:jc w:val="both"/>
            </w:pPr>
            <w:r>
              <w:t xml:space="preserve">The motion for an extension of time to serve and file the respondent’s response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7A2DD5">
              <w:t>500-09-022280-119</w:t>
            </w:r>
            <w:r w:rsidR="007A2DD5" w:rsidRPr="006E7BAE">
              <w:t>,</w:t>
            </w:r>
            <w:r w:rsidR="007A2DD5">
              <w:t xml:space="preserve"> </w:t>
            </w:r>
            <w:r w:rsidR="00824412">
              <w:t xml:space="preserve">2012 QCCA 1282, </w:t>
            </w:r>
            <w:r w:rsidR="00824412" w:rsidRPr="006E7BAE">
              <w:t xml:space="preserve">dated </w:t>
            </w:r>
            <w:r w:rsidR="00824412">
              <w:t>July 6, 2012</w:t>
            </w:r>
            <w:r w:rsidR="007A2DD5">
              <w:t>, is dismissed with costs</w:t>
            </w:r>
            <w:r>
              <w:t xml:space="preserve"> to the respondent</w:t>
            </w:r>
            <w:r w:rsidR="00824412" w:rsidRPr="006E7BAE">
              <w:t>.</w:t>
            </w:r>
          </w:p>
        </w:tc>
        <w:tc>
          <w:tcPr>
            <w:tcW w:w="37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31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01BE0" w:rsidP="007A2DD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réponse de l’intimée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2DD5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7A2DD5" w:rsidRPr="007A2DD5">
              <w:rPr>
                <w:lang w:val="fr-CA"/>
              </w:rPr>
              <w:t>500-09-022280-119</w:t>
            </w:r>
            <w:r w:rsidR="007A2DD5" w:rsidRPr="006E7BAE">
              <w:rPr>
                <w:lang w:val="fr-CA"/>
              </w:rPr>
              <w:t>,</w:t>
            </w:r>
            <w:r w:rsidR="00824412" w:rsidRPr="007A2DD5">
              <w:rPr>
                <w:lang w:val="fr-CA"/>
              </w:rPr>
              <w:t xml:space="preserve"> 2012 QCCA 1282,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2DD5">
              <w:rPr>
                <w:lang w:val="fr-CA"/>
              </w:rPr>
              <w:t>6 juillet 2012</w:t>
            </w:r>
            <w:r w:rsidR="007A2DD5">
              <w:rPr>
                <w:lang w:val="fr-CA"/>
              </w:rPr>
              <w:t>, est rejetée avec dépens</w:t>
            </w:r>
            <w:r>
              <w:rPr>
                <w:lang w:val="fr-CA"/>
              </w:rPr>
              <w:t xml:space="preserve"> en faveur de l’intimée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A2DD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A2DD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25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255E" w:rsidRPr="00417FB7">
      <w:rPr>
        <w:szCs w:val="24"/>
      </w:rPr>
      <w:fldChar w:fldCharType="separate"/>
    </w:r>
    <w:r w:rsidR="009B5CF2">
      <w:rPr>
        <w:noProof/>
        <w:szCs w:val="24"/>
      </w:rPr>
      <w:t>2</w:t>
    </w:r>
    <w:r w:rsidR="00DB25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6707"/>
    <w:rsid w:val="002B5FA6"/>
    <w:rsid w:val="0031097F"/>
    <w:rsid w:val="0031165C"/>
    <w:rsid w:val="00356186"/>
    <w:rsid w:val="00374E7D"/>
    <w:rsid w:val="00375294"/>
    <w:rsid w:val="0037709C"/>
    <w:rsid w:val="00382FC7"/>
    <w:rsid w:val="00382FEC"/>
    <w:rsid w:val="00385A90"/>
    <w:rsid w:val="003A37CF"/>
    <w:rsid w:val="003B1F3D"/>
    <w:rsid w:val="00414694"/>
    <w:rsid w:val="00416066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837E1"/>
    <w:rsid w:val="0079129C"/>
    <w:rsid w:val="007917FE"/>
    <w:rsid w:val="007A2DD5"/>
    <w:rsid w:val="007A54CC"/>
    <w:rsid w:val="007C5DE8"/>
    <w:rsid w:val="007E68C7"/>
    <w:rsid w:val="00801BE0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5CF2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255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3D11-B275-4C00-9A39-CB98272E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5</cp:revision>
  <dcterms:created xsi:type="dcterms:W3CDTF">2013-01-29T19:34:00Z</dcterms:created>
  <dcterms:modified xsi:type="dcterms:W3CDTF">2013-02-12T13:34:00Z</dcterms:modified>
</cp:coreProperties>
</file>