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6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722"/>
        <w:gridCol w:w="4576"/>
      </w:tblGrid>
      <w:tr w:rsidR="00417FB7" w:rsidRPr="006E7BAE" w:rsidTr="008540CA">
        <w:tc>
          <w:tcPr>
            <w:tcW w:w="2240" w:type="pct"/>
          </w:tcPr>
          <w:p w:rsidR="00417FB7" w:rsidRPr="006E7BAE" w:rsidRDefault="0073133F" w:rsidP="0073133F">
            <w:r>
              <w:t>October 3</w:t>
            </w:r>
            <w:r w:rsidR="00565CD0">
              <w:t>, 2013</w:t>
            </w:r>
          </w:p>
        </w:tc>
        <w:tc>
          <w:tcPr>
            <w:tcW w:w="376" w:type="pct"/>
          </w:tcPr>
          <w:p w:rsidR="00417FB7" w:rsidRPr="006E7BAE" w:rsidRDefault="00417FB7" w:rsidP="00382FEC"/>
        </w:tc>
        <w:tc>
          <w:tcPr>
            <w:tcW w:w="2384" w:type="pct"/>
          </w:tcPr>
          <w:p w:rsidR="00417FB7" w:rsidRPr="00D83B8C" w:rsidRDefault="00565CD0" w:rsidP="0073133F">
            <w:pPr>
              <w:rPr>
                <w:lang w:val="en-US"/>
              </w:rPr>
            </w:pPr>
            <w:r>
              <w:t xml:space="preserve">Le </w:t>
            </w:r>
            <w:r w:rsidR="0073133F">
              <w:t xml:space="preserve">3 </w:t>
            </w:r>
            <w:proofErr w:type="spellStart"/>
            <w:r w:rsidR="0073133F">
              <w:t>octobre</w:t>
            </w:r>
            <w:proofErr w:type="spellEnd"/>
            <w:r w:rsidR="0073133F">
              <w:t xml:space="preserve"> </w:t>
            </w:r>
            <w:r>
              <w:t>2013</w:t>
            </w:r>
          </w:p>
        </w:tc>
      </w:tr>
      <w:tr w:rsidR="00E12A51" w:rsidRPr="006E7BAE" w:rsidTr="008540CA">
        <w:tc>
          <w:tcPr>
            <w:tcW w:w="2240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6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84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0945" w:rsidTr="008540CA">
        <w:tc>
          <w:tcPr>
            <w:tcW w:w="2240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6" w:type="pct"/>
          </w:tcPr>
          <w:p w:rsidR="00417FB7" w:rsidRPr="006E7BAE" w:rsidRDefault="00417FB7" w:rsidP="00382FEC"/>
        </w:tc>
        <w:tc>
          <w:tcPr>
            <w:tcW w:w="2384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540CA">
              <w:rPr>
                <w:lang w:val="fr-CA"/>
              </w:rPr>
              <w:t>Les juges Fish, Rothstein et Moldaver</w:t>
            </w:r>
          </w:p>
        </w:tc>
      </w:tr>
      <w:tr w:rsidR="00C2612E" w:rsidRPr="00F50945" w:rsidTr="008540CA">
        <w:tc>
          <w:tcPr>
            <w:tcW w:w="2240" w:type="pct"/>
            <w:tcMar>
              <w:top w:w="0" w:type="dxa"/>
              <w:bottom w:w="0" w:type="dxa"/>
            </w:tcMar>
          </w:tcPr>
          <w:p w:rsidR="00C2612E" w:rsidRPr="008540CA" w:rsidRDefault="00C2612E" w:rsidP="008262A3">
            <w:pPr>
              <w:rPr>
                <w:lang w:val="fr-CA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:rsidR="00C2612E" w:rsidRPr="008540CA" w:rsidRDefault="00C2612E" w:rsidP="00382FEC">
            <w:pPr>
              <w:rPr>
                <w:lang w:val="fr-CA"/>
              </w:rPr>
            </w:pPr>
          </w:p>
        </w:tc>
        <w:tc>
          <w:tcPr>
            <w:tcW w:w="2384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8540CA">
        <w:tc>
          <w:tcPr>
            <w:tcW w:w="2240" w:type="pct"/>
            <w:vAlign w:val="center"/>
          </w:tcPr>
          <w:p w:rsidR="007A2DF6" w:rsidRDefault="008540CA">
            <w:pPr>
              <w:pStyle w:val="SCCLsocPrefix"/>
            </w:pPr>
            <w:r>
              <w:t>BETWEEN:</w:t>
            </w:r>
            <w:r>
              <w:br/>
            </w:r>
          </w:p>
          <w:p w:rsidR="008540CA" w:rsidRDefault="008540CA">
            <w:pPr>
              <w:pStyle w:val="SCCLsocParty"/>
            </w:pPr>
            <w:r>
              <w:t xml:space="preserve">Onex Corporation, Gerald W. Schwartz, Christopher A. Govan, Mark Hilson </w:t>
            </w:r>
          </w:p>
          <w:p w:rsidR="007A2DF6" w:rsidRDefault="008540CA">
            <w:pPr>
              <w:pStyle w:val="SCCLsocParty"/>
            </w:pPr>
            <w:r>
              <w:t>and Nigel Wright</w:t>
            </w:r>
            <w:r>
              <w:br/>
            </w:r>
          </w:p>
          <w:p w:rsidR="007A2DF6" w:rsidRDefault="008540CA">
            <w:pPr>
              <w:pStyle w:val="SCCLsocPartyRole"/>
            </w:pPr>
            <w:r>
              <w:t>Applicants</w:t>
            </w:r>
            <w:r>
              <w:br/>
            </w:r>
          </w:p>
          <w:p w:rsidR="007A2DF6" w:rsidRDefault="008540CA">
            <w:pPr>
              <w:pStyle w:val="SCCLsocVersus"/>
            </w:pPr>
            <w:r>
              <w:t>- and -</w:t>
            </w:r>
            <w:r>
              <w:br/>
            </w:r>
          </w:p>
          <w:p w:rsidR="007A2DF6" w:rsidRDefault="008540CA">
            <w:pPr>
              <w:pStyle w:val="SCCLsocParty"/>
            </w:pPr>
            <w:r>
              <w:t>American Home Assurance Company, Brit Syndicates Ltd. (Lloyd’s Syndicate 2987)</w:t>
            </w:r>
            <w:r w:rsidR="0073133F">
              <w:t>,</w:t>
            </w:r>
            <w:r>
              <w:t xml:space="preserve"> Heritage Managing Agency Limited (Lloyd’s Syndicate 3245), XL Insurance Company Limited, Liberty Mutual Insurance Company, Lloyd’s Underwriters Syndicates No. 2623, 0623, 0033, AIG Europe (UK) Limited and Houston Casualty Company</w:t>
            </w:r>
            <w:r>
              <w:br/>
            </w:r>
          </w:p>
          <w:p w:rsidR="007A2DF6" w:rsidRDefault="008540CA">
            <w:pPr>
              <w:pStyle w:val="SCCLsocPartyRole"/>
            </w:pPr>
            <w:r>
              <w:t>Respondents</w:t>
            </w:r>
          </w:p>
        </w:tc>
        <w:tc>
          <w:tcPr>
            <w:tcW w:w="376" w:type="pct"/>
            <w:vAlign w:val="center"/>
          </w:tcPr>
          <w:p w:rsidR="00824412" w:rsidRPr="006E7BAE" w:rsidRDefault="00824412" w:rsidP="00375294"/>
        </w:tc>
        <w:tc>
          <w:tcPr>
            <w:tcW w:w="2384" w:type="pct"/>
            <w:vAlign w:val="center"/>
          </w:tcPr>
          <w:p w:rsidR="007A2DF6" w:rsidRDefault="008540CA">
            <w:pPr>
              <w:pStyle w:val="SCCLsocPrefix"/>
            </w:pPr>
            <w:r>
              <w:t>ENTRE :</w:t>
            </w:r>
            <w:r>
              <w:br/>
            </w:r>
          </w:p>
          <w:p w:rsidR="008540CA" w:rsidRDefault="008540CA">
            <w:pPr>
              <w:pStyle w:val="SCCLsocParty"/>
            </w:pPr>
            <w:r>
              <w:t xml:space="preserve">Onex Corporation, Gerald W. Schwartz, Christopher A. Govan, Mark Hilson </w:t>
            </w:r>
          </w:p>
          <w:p w:rsidR="007A2DF6" w:rsidRPr="00565CD0" w:rsidRDefault="008540CA">
            <w:pPr>
              <w:pStyle w:val="SCCLsocParty"/>
              <w:rPr>
                <w:lang w:val="fr-CA"/>
              </w:rPr>
            </w:pPr>
            <w:r w:rsidRPr="00565CD0">
              <w:rPr>
                <w:lang w:val="fr-CA"/>
              </w:rPr>
              <w:t>et Nigel Wright</w:t>
            </w:r>
            <w:r w:rsidRPr="00565CD0">
              <w:rPr>
                <w:lang w:val="fr-CA"/>
              </w:rPr>
              <w:br/>
            </w:r>
          </w:p>
          <w:p w:rsidR="007A2DF6" w:rsidRPr="00565CD0" w:rsidRDefault="008540CA">
            <w:pPr>
              <w:pStyle w:val="SCCLsocPartyRole"/>
              <w:rPr>
                <w:lang w:val="fr-CA"/>
              </w:rPr>
            </w:pPr>
            <w:r w:rsidRPr="00565CD0">
              <w:rPr>
                <w:lang w:val="fr-CA"/>
              </w:rPr>
              <w:t>Demandeurs</w:t>
            </w:r>
            <w:r w:rsidRPr="00565CD0">
              <w:rPr>
                <w:lang w:val="fr-CA"/>
              </w:rPr>
              <w:br/>
            </w:r>
          </w:p>
          <w:p w:rsidR="007A2DF6" w:rsidRPr="00565CD0" w:rsidRDefault="008540CA">
            <w:pPr>
              <w:pStyle w:val="SCCLsocVersus"/>
              <w:rPr>
                <w:lang w:val="fr-CA"/>
              </w:rPr>
            </w:pPr>
            <w:r w:rsidRPr="00565CD0">
              <w:rPr>
                <w:lang w:val="fr-CA"/>
              </w:rPr>
              <w:t>- et -</w:t>
            </w:r>
            <w:r w:rsidRPr="00565CD0">
              <w:rPr>
                <w:lang w:val="fr-CA"/>
              </w:rPr>
              <w:br/>
            </w:r>
          </w:p>
          <w:p w:rsidR="0073133F" w:rsidRDefault="008540CA">
            <w:pPr>
              <w:pStyle w:val="SCCLsocParty"/>
            </w:pPr>
            <w:r>
              <w:t>American Home Assurance Company, Brit Syndicates Ltd. (Lloyd’s Syndicate 2987)</w:t>
            </w:r>
            <w:r w:rsidR="0073133F">
              <w:t>,</w:t>
            </w:r>
            <w:r>
              <w:t xml:space="preserve"> Heritage Managing Agency Limited (Lloyd’s Syndicate 3245), XL Insurance Company Limited, Liberty Mutual Insurance Company, Lloyd’s Underwriters Syndicates No. 2623, 0623, 0033, AIG Europe (UK) Limited et Houston Casualty Company</w:t>
            </w:r>
          </w:p>
          <w:p w:rsidR="007A2DF6" w:rsidRDefault="008540CA">
            <w:pPr>
              <w:pStyle w:val="SCCLsocParty"/>
            </w:pPr>
            <w:r>
              <w:br/>
            </w:r>
          </w:p>
          <w:p w:rsidR="0073133F" w:rsidRPr="0073133F" w:rsidRDefault="008540CA" w:rsidP="00F5094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8540CA">
        <w:tc>
          <w:tcPr>
            <w:tcW w:w="2240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76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84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40CA" w:rsidTr="008540CA">
        <w:tc>
          <w:tcPr>
            <w:tcW w:w="2240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3133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 xml:space="preserve">Court of Appeal for </w:t>
            </w:r>
            <w:r>
              <w:lastRenderedPageBreak/>
              <w:t>Ontario</w:t>
            </w:r>
            <w:r w:rsidRPr="006E7BAE">
              <w:t>, Number</w:t>
            </w:r>
            <w:r w:rsidR="0073133F">
              <w:t>s</w:t>
            </w:r>
            <w:r w:rsidRPr="006E7BAE">
              <w:t xml:space="preserve"> </w:t>
            </w:r>
            <w:r w:rsidR="0073133F">
              <w:t xml:space="preserve">C54076, </w:t>
            </w:r>
            <w:r>
              <w:t>C54123</w:t>
            </w:r>
            <w:r w:rsidR="0073133F">
              <w:t xml:space="preserve"> and C55034</w:t>
            </w:r>
            <w:r>
              <w:t>, 2013 ONCA 117</w:t>
            </w:r>
            <w:r w:rsidRPr="006E7BAE">
              <w:t xml:space="preserve">, dated </w:t>
            </w:r>
            <w:r>
              <w:t>February 25, 2013</w:t>
            </w:r>
            <w:r w:rsidR="0073133F">
              <w:t>,</w:t>
            </w:r>
            <w:r w:rsidRPr="006E7BAE">
              <w:t xml:space="preserve"> is </w:t>
            </w:r>
            <w:r w:rsidR="008540CA">
              <w:t xml:space="preserve">dismissed </w:t>
            </w:r>
            <w:r w:rsidR="008540CA" w:rsidRPr="008540CA">
              <w:rPr>
                <w:lang w:val="en-US"/>
              </w:rPr>
              <w:t>with costs</w:t>
            </w:r>
            <w:r w:rsidR="008540CA" w:rsidRPr="008540CA">
              <w:t xml:space="preserve"> to American Home Assurance Company, Brit Syndicates Ltd. (Lloyd</w:t>
            </w:r>
            <w:r w:rsidR="008540CA">
              <w:t>’</w:t>
            </w:r>
            <w:r w:rsidR="008540CA" w:rsidRPr="008540CA">
              <w:t>s Syndicate 2987)</w:t>
            </w:r>
            <w:r w:rsidR="0073133F">
              <w:t>,</w:t>
            </w:r>
            <w:r w:rsidR="008540CA" w:rsidRPr="008540CA">
              <w:t xml:space="preserve"> </w:t>
            </w:r>
            <w:r w:rsidR="0073133F">
              <w:t>H</w:t>
            </w:r>
            <w:r w:rsidR="008540CA" w:rsidRPr="008540CA">
              <w:t>eritage Managing Agency Limited (Lloyd</w:t>
            </w:r>
            <w:r w:rsidR="008540CA">
              <w:t>’</w:t>
            </w:r>
            <w:r w:rsidR="008540CA" w:rsidRPr="008540CA">
              <w:t>s Syndicate 3245)</w:t>
            </w:r>
            <w:r w:rsidR="0073133F">
              <w:t xml:space="preserve"> and</w:t>
            </w:r>
            <w:r w:rsidR="008540CA" w:rsidRPr="008540CA">
              <w:t xml:space="preserve"> XL Insurance Company Limited</w:t>
            </w:r>
            <w:r w:rsidR="008540CA" w:rsidRPr="008540CA">
              <w:rPr>
                <w:lang w:val="en-US"/>
              </w:rPr>
              <w:t>.</w:t>
            </w:r>
          </w:p>
        </w:tc>
        <w:tc>
          <w:tcPr>
            <w:tcW w:w="37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4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8540CA" w:rsidRDefault="00824412" w:rsidP="0073133F">
            <w:pPr>
              <w:jc w:val="both"/>
              <w:rPr>
                <w:lang w:val="en-US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</w:t>
            </w:r>
            <w:r w:rsidR="008540CA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autorisation d</w:t>
            </w:r>
            <w:r w:rsidR="008540CA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appel de l</w:t>
            </w:r>
            <w:r w:rsidR="008540CA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arrêt de la</w:t>
            </w:r>
            <w:r w:rsidRPr="006E7BAE">
              <w:rPr>
                <w:lang w:val="fr-CA"/>
              </w:rPr>
              <w:t xml:space="preserve"> </w:t>
            </w:r>
            <w:r w:rsidRPr="008540CA">
              <w:rPr>
                <w:lang w:val="fr-CA"/>
              </w:rPr>
              <w:t>Cour d</w:t>
            </w:r>
            <w:r w:rsidR="008540CA">
              <w:rPr>
                <w:lang w:val="fr-CA"/>
              </w:rPr>
              <w:t>’</w:t>
            </w:r>
            <w:r w:rsidRPr="008540CA">
              <w:rPr>
                <w:lang w:val="fr-CA"/>
              </w:rPr>
              <w:t>appel de l</w:t>
            </w:r>
            <w:r w:rsidR="008540CA">
              <w:rPr>
                <w:lang w:val="fr-CA"/>
              </w:rPr>
              <w:t>’</w:t>
            </w:r>
            <w:r w:rsidRPr="008540CA">
              <w:rPr>
                <w:lang w:val="fr-CA"/>
              </w:rPr>
              <w:t>Ontario</w:t>
            </w:r>
            <w:r w:rsidRPr="006E7BAE">
              <w:rPr>
                <w:lang w:val="fr-CA"/>
              </w:rPr>
              <w:t>, numéro</w:t>
            </w:r>
            <w:r w:rsidR="0073133F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73133F">
              <w:rPr>
                <w:lang w:val="fr-CA"/>
              </w:rPr>
              <w:lastRenderedPageBreak/>
              <w:t xml:space="preserve">C54076, </w:t>
            </w:r>
            <w:r w:rsidRPr="008540CA">
              <w:rPr>
                <w:lang w:val="fr-CA"/>
              </w:rPr>
              <w:t>C54123</w:t>
            </w:r>
            <w:r w:rsidR="0073133F">
              <w:rPr>
                <w:lang w:val="fr-CA"/>
              </w:rPr>
              <w:t xml:space="preserve"> et C55034</w:t>
            </w:r>
            <w:r w:rsidRPr="008540CA">
              <w:rPr>
                <w:lang w:val="fr-CA"/>
              </w:rPr>
              <w:t>, 2013 ONCA 117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40CA">
              <w:rPr>
                <w:lang w:val="fr-CA"/>
              </w:rPr>
              <w:t>25 février 2013</w:t>
            </w:r>
            <w:r w:rsidRPr="006E7BAE">
              <w:rPr>
                <w:lang w:val="fr-CA"/>
              </w:rPr>
              <w:t>, est</w:t>
            </w:r>
            <w:r w:rsidR="008540CA">
              <w:rPr>
                <w:lang w:val="fr-CA"/>
              </w:rPr>
              <w:t xml:space="preserve"> rejetée avec dépens en faveur d</w:t>
            </w:r>
            <w:r w:rsidR="0073133F">
              <w:rPr>
                <w:lang w:val="fr-CA"/>
              </w:rPr>
              <w:t>’</w:t>
            </w:r>
            <w:r w:rsidR="008540CA" w:rsidRPr="008540CA">
              <w:rPr>
                <w:lang w:val="fr-CA"/>
              </w:rPr>
              <w:t xml:space="preserve">American Home Assurance </w:t>
            </w:r>
            <w:proofErr w:type="spellStart"/>
            <w:r w:rsidR="008540CA" w:rsidRPr="008540CA">
              <w:rPr>
                <w:lang w:val="fr-CA"/>
              </w:rPr>
              <w:t>Company</w:t>
            </w:r>
            <w:proofErr w:type="spellEnd"/>
            <w:r w:rsidR="008540CA" w:rsidRPr="008540CA">
              <w:rPr>
                <w:lang w:val="fr-CA"/>
              </w:rPr>
              <w:t xml:space="preserve">, </w:t>
            </w:r>
            <w:proofErr w:type="spellStart"/>
            <w:r w:rsidR="008540CA" w:rsidRPr="008540CA">
              <w:rPr>
                <w:lang w:val="fr-CA"/>
              </w:rPr>
              <w:t>Brit</w:t>
            </w:r>
            <w:proofErr w:type="spellEnd"/>
            <w:r w:rsidR="008540CA" w:rsidRPr="008540CA">
              <w:rPr>
                <w:lang w:val="fr-CA"/>
              </w:rPr>
              <w:t xml:space="preserve"> </w:t>
            </w:r>
            <w:proofErr w:type="spellStart"/>
            <w:r w:rsidR="008540CA" w:rsidRPr="008540CA">
              <w:rPr>
                <w:lang w:val="fr-CA"/>
              </w:rPr>
              <w:t>Syndicates</w:t>
            </w:r>
            <w:proofErr w:type="spellEnd"/>
            <w:r w:rsidR="008540CA" w:rsidRPr="008540CA">
              <w:rPr>
                <w:lang w:val="fr-CA"/>
              </w:rPr>
              <w:t xml:space="preserve"> Ltd. </w:t>
            </w:r>
            <w:r w:rsidR="008540CA" w:rsidRPr="008540CA">
              <w:t>(Lloyd</w:t>
            </w:r>
            <w:r w:rsidR="008540CA">
              <w:t>’</w:t>
            </w:r>
            <w:r w:rsidR="008540CA" w:rsidRPr="008540CA">
              <w:t>s Syndicate 2987)</w:t>
            </w:r>
            <w:r w:rsidR="0073133F">
              <w:t xml:space="preserve">, </w:t>
            </w:r>
            <w:r w:rsidR="008540CA" w:rsidRPr="008540CA">
              <w:t>Heritage Managing Agency Limited (Lloyd</w:t>
            </w:r>
            <w:r w:rsidR="008540CA">
              <w:t>’</w:t>
            </w:r>
            <w:r w:rsidR="008540CA" w:rsidRPr="008540CA">
              <w:t>s Syndicate 3245)</w:t>
            </w:r>
            <w:r w:rsidR="0073133F">
              <w:t xml:space="preserve"> et</w:t>
            </w:r>
            <w:r w:rsidR="008540CA" w:rsidRPr="008540CA">
              <w:t xml:space="preserve"> XL Insurance Company Limited</w:t>
            </w:r>
            <w:r w:rsidR="008540CA" w:rsidRPr="008540CA">
              <w:rPr>
                <w:lang w:val="en-US"/>
              </w:rPr>
              <w:t>.</w:t>
            </w:r>
            <w:r w:rsidR="00011960" w:rsidRPr="008540CA">
              <w:rPr>
                <w:lang w:val="en-US"/>
              </w:rPr>
              <w:t xml:space="preserve"> </w:t>
            </w:r>
          </w:p>
        </w:tc>
      </w:tr>
    </w:tbl>
    <w:p w:rsidR="009F436C" w:rsidRPr="008540CA" w:rsidRDefault="009F436C" w:rsidP="00382FEC">
      <w:pPr>
        <w:rPr>
          <w:lang w:val="en-US"/>
        </w:rPr>
      </w:pPr>
    </w:p>
    <w:p w:rsidR="009F436C" w:rsidRPr="008540CA" w:rsidRDefault="009F436C" w:rsidP="00417FB7">
      <w:pPr>
        <w:jc w:val="center"/>
        <w:rPr>
          <w:lang w:val="en-US"/>
        </w:rPr>
      </w:pPr>
    </w:p>
    <w:p w:rsidR="009F436C" w:rsidRPr="008540CA" w:rsidRDefault="009F436C" w:rsidP="00417FB7">
      <w:pPr>
        <w:jc w:val="center"/>
        <w:rPr>
          <w:lang w:val="en-US"/>
        </w:rPr>
      </w:pPr>
    </w:p>
    <w:p w:rsidR="009F436C" w:rsidRPr="00565CD0" w:rsidRDefault="009F436C" w:rsidP="00417FB7">
      <w:pPr>
        <w:jc w:val="center"/>
        <w:rPr>
          <w:lang w:val="en-US"/>
        </w:rPr>
      </w:pPr>
    </w:p>
    <w:p w:rsidR="009F436C" w:rsidRPr="00565CD0" w:rsidRDefault="009F436C" w:rsidP="00417FB7">
      <w:pPr>
        <w:jc w:val="center"/>
        <w:rPr>
          <w:lang w:val="en-US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540C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85E4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85E45" w:rsidRPr="00417FB7">
      <w:rPr>
        <w:szCs w:val="24"/>
      </w:rPr>
      <w:fldChar w:fldCharType="separate"/>
    </w:r>
    <w:r w:rsidR="00F50945">
      <w:rPr>
        <w:noProof/>
        <w:szCs w:val="24"/>
      </w:rPr>
      <w:t>2</w:t>
    </w:r>
    <w:r w:rsidR="00885E4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DF6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45F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65CD0"/>
    <w:rsid w:val="00587869"/>
    <w:rsid w:val="00612913"/>
    <w:rsid w:val="00614908"/>
    <w:rsid w:val="00650109"/>
    <w:rsid w:val="006E7BAE"/>
    <w:rsid w:val="00701109"/>
    <w:rsid w:val="0073133F"/>
    <w:rsid w:val="007372EA"/>
    <w:rsid w:val="00777612"/>
    <w:rsid w:val="0079129C"/>
    <w:rsid w:val="007917FE"/>
    <w:rsid w:val="007A2DF6"/>
    <w:rsid w:val="007A54CC"/>
    <w:rsid w:val="007C5DE8"/>
    <w:rsid w:val="007E487D"/>
    <w:rsid w:val="007E68C7"/>
    <w:rsid w:val="00804BE2"/>
    <w:rsid w:val="00816B78"/>
    <w:rsid w:val="00824412"/>
    <w:rsid w:val="008262A3"/>
    <w:rsid w:val="00830BBE"/>
    <w:rsid w:val="008540CA"/>
    <w:rsid w:val="0086042A"/>
    <w:rsid w:val="008763A3"/>
    <w:rsid w:val="008813BC"/>
    <w:rsid w:val="00885E45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0945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1566</Characters>
  <Application>Microsoft Office Word</Application>
  <DocSecurity>0</DocSecurity>
  <Lines>13</Lines>
  <Paragraphs>3</Paragraphs>
  <ScaleCrop>false</ScaleCrop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2013-08-14T14:29:00Z</dcterms:created>
  <dcterms:modified xsi:type="dcterms:W3CDTF">2013-09-30T18:40:00Z</dcterms:modified>
</cp:coreProperties>
</file>