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5842FE" w:rsidRDefault="005842FE" w:rsidP="00382FEC"/>
    <w:p w:rsidR="005842FE" w:rsidRDefault="005842FE" w:rsidP="00382FEC"/>
    <w:p w:rsidR="005842FE" w:rsidRDefault="005842FE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35448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A10DE7">
            <w:r>
              <w:t>Le 2</w:t>
            </w:r>
            <w:r w:rsidR="00A10DE7">
              <w:t>1</w:t>
            </w:r>
            <w:r>
              <w:t xml:space="preserve"> </w:t>
            </w:r>
            <w:r w:rsidR="00A10DE7">
              <w:t>novembre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A10DE7" w:rsidP="0027081E">
            <w:pPr>
              <w:rPr>
                <w:lang w:val="en-CA"/>
              </w:rPr>
            </w:pPr>
            <w:proofErr w:type="spellStart"/>
            <w:r>
              <w:t>November</w:t>
            </w:r>
            <w:proofErr w:type="spellEnd"/>
            <w:r>
              <w:t xml:space="preserve"> 21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76E92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10DE7">
              <w:rPr>
                <w:lang w:val="en-US"/>
              </w:rPr>
              <w:t>LeBel, Karakatsanis and Wagner JJ.</w:t>
            </w:r>
          </w:p>
        </w:tc>
      </w:tr>
      <w:tr w:rsidR="00C2612E" w:rsidRPr="00676E92" w:rsidTr="00F47372">
        <w:tc>
          <w:tcPr>
            <w:tcW w:w="2269" w:type="pct"/>
          </w:tcPr>
          <w:p w:rsidR="00C2612E" w:rsidRPr="00A10DE7" w:rsidRDefault="00C2612E" w:rsidP="008262A3">
            <w:pPr>
              <w:rPr>
                <w:lang w:val="en-US"/>
              </w:rPr>
            </w:pPr>
          </w:p>
          <w:p w:rsidR="00C2612E" w:rsidRPr="00A10DE7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A10DE7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77712E" w:rsidRDefault="006928CB">
            <w:pPr>
              <w:pStyle w:val="SCCLsocPrefix"/>
            </w:pPr>
            <w:r>
              <w:t>ENTRE :</w:t>
            </w:r>
            <w:r>
              <w:br/>
            </w:r>
          </w:p>
          <w:p w:rsidR="0077712E" w:rsidRDefault="006928CB">
            <w:pPr>
              <w:pStyle w:val="SCCLsocParty"/>
            </w:pPr>
            <w:r>
              <w:t>Procureur général du Québec</w:t>
            </w:r>
            <w:r>
              <w:br/>
            </w:r>
          </w:p>
          <w:p w:rsidR="0077712E" w:rsidRDefault="006928CB">
            <w:pPr>
              <w:pStyle w:val="SCCLsocPartyRole"/>
            </w:pPr>
            <w:r>
              <w:t>Demandeur</w:t>
            </w:r>
            <w:r>
              <w:br/>
            </w:r>
          </w:p>
          <w:p w:rsidR="0077712E" w:rsidRDefault="006928CB">
            <w:pPr>
              <w:pStyle w:val="SCCLsocVersus"/>
            </w:pPr>
            <w:r>
              <w:t>- et -</w:t>
            </w:r>
            <w:r>
              <w:br/>
            </w:r>
          </w:p>
          <w:p w:rsidR="00A10DE7" w:rsidRDefault="006928CB">
            <w:pPr>
              <w:pStyle w:val="SCCLsocParty"/>
            </w:pPr>
            <w:r>
              <w:t xml:space="preserve">Procureur général du Canada, </w:t>
            </w:r>
          </w:p>
          <w:p w:rsidR="00A10DE7" w:rsidRDefault="006928CB">
            <w:pPr>
              <w:pStyle w:val="SCCLsocParty"/>
            </w:pPr>
            <w:r>
              <w:t>Commissaire aux armes à feu</w:t>
            </w:r>
            <w:r w:rsidR="00A10DE7">
              <w:t xml:space="preserve"> et</w:t>
            </w:r>
          </w:p>
          <w:p w:rsidR="00676E92" w:rsidRDefault="00A10DE7">
            <w:pPr>
              <w:pStyle w:val="SCCLsocParty"/>
            </w:pPr>
            <w:r>
              <w:t>Directeur de l’</w:t>
            </w:r>
            <w:r w:rsidR="006928CB">
              <w:t>enregistrement</w:t>
            </w:r>
          </w:p>
          <w:p w:rsidR="0077712E" w:rsidRDefault="00676E92">
            <w:pPr>
              <w:pStyle w:val="SCCLsocParty"/>
            </w:pPr>
            <w:r>
              <w:t>des armes à feu</w:t>
            </w:r>
            <w:r w:rsidR="006928CB">
              <w:br/>
            </w:r>
          </w:p>
          <w:p w:rsidR="00A10DE7" w:rsidRDefault="006928CB" w:rsidP="00A10DE7">
            <w:pPr>
              <w:pStyle w:val="SCCLsocPartyRole"/>
            </w:pPr>
            <w:r>
              <w:t>Intimés</w:t>
            </w:r>
            <w:r>
              <w:br/>
            </w:r>
          </w:p>
          <w:p w:rsidR="00A10DE7" w:rsidRDefault="00A10DE7" w:rsidP="00A10DE7">
            <w:pPr>
              <w:pStyle w:val="SCCLsocVersus"/>
            </w:pPr>
            <w:r>
              <w:t>- et -</w:t>
            </w:r>
            <w:r>
              <w:br/>
            </w:r>
          </w:p>
          <w:p w:rsidR="0077712E" w:rsidRDefault="006928CB">
            <w:pPr>
              <w:pStyle w:val="SCCLsocParty"/>
            </w:pPr>
            <w:r>
              <w:t>Contrôleur des armes à feu</w:t>
            </w:r>
            <w:r>
              <w:br/>
            </w:r>
          </w:p>
          <w:p w:rsidR="0077712E" w:rsidRDefault="006928CB" w:rsidP="00A10DE7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77712E" w:rsidRPr="00A10DE7" w:rsidRDefault="006928CB">
            <w:pPr>
              <w:pStyle w:val="SCCLsocPrefix"/>
              <w:rPr>
                <w:lang w:val="en-US"/>
              </w:rPr>
            </w:pPr>
            <w:r w:rsidRPr="00A10DE7">
              <w:rPr>
                <w:lang w:val="en-US"/>
              </w:rPr>
              <w:t>BETWEEN:</w:t>
            </w:r>
            <w:r w:rsidRPr="00A10DE7">
              <w:rPr>
                <w:lang w:val="en-US"/>
              </w:rPr>
              <w:br/>
            </w:r>
          </w:p>
          <w:p w:rsidR="0077712E" w:rsidRPr="00A10DE7" w:rsidRDefault="006928CB">
            <w:pPr>
              <w:pStyle w:val="SCCLsocParty"/>
              <w:rPr>
                <w:lang w:val="en-US"/>
              </w:rPr>
            </w:pPr>
            <w:r w:rsidRPr="00A10DE7">
              <w:rPr>
                <w:lang w:val="en-US"/>
              </w:rPr>
              <w:t>Attorney General of Quebec</w:t>
            </w:r>
            <w:r w:rsidRPr="00A10DE7">
              <w:rPr>
                <w:lang w:val="en-US"/>
              </w:rPr>
              <w:br/>
            </w:r>
          </w:p>
          <w:p w:rsidR="0077712E" w:rsidRPr="007428D5" w:rsidRDefault="006928CB">
            <w:pPr>
              <w:pStyle w:val="SCCLsocPartyRole"/>
              <w:rPr>
                <w:lang w:val="en-US"/>
              </w:rPr>
            </w:pPr>
            <w:r w:rsidRPr="007428D5">
              <w:rPr>
                <w:lang w:val="en-US"/>
              </w:rPr>
              <w:t>Applicant</w:t>
            </w:r>
            <w:r w:rsidRPr="007428D5">
              <w:rPr>
                <w:lang w:val="en-US"/>
              </w:rPr>
              <w:br/>
            </w:r>
          </w:p>
          <w:p w:rsidR="0077712E" w:rsidRPr="007428D5" w:rsidRDefault="006928CB">
            <w:pPr>
              <w:pStyle w:val="SCCLsocVersus"/>
              <w:rPr>
                <w:lang w:val="en-US"/>
              </w:rPr>
            </w:pPr>
            <w:r w:rsidRPr="007428D5">
              <w:rPr>
                <w:lang w:val="en-US"/>
              </w:rPr>
              <w:t>- and -</w:t>
            </w:r>
            <w:r w:rsidRPr="007428D5">
              <w:rPr>
                <w:lang w:val="en-US"/>
              </w:rPr>
              <w:br/>
            </w:r>
          </w:p>
          <w:p w:rsidR="00A10DE7" w:rsidRDefault="006928CB">
            <w:pPr>
              <w:pStyle w:val="SCCLsocParty"/>
              <w:rPr>
                <w:lang w:val="en-US"/>
              </w:rPr>
            </w:pPr>
            <w:r w:rsidRPr="00A10DE7">
              <w:rPr>
                <w:lang w:val="en-US"/>
              </w:rPr>
              <w:t xml:space="preserve">Attorney General of Canada, </w:t>
            </w:r>
          </w:p>
          <w:p w:rsidR="00A10DE7" w:rsidRPr="007428D5" w:rsidRDefault="007428D5">
            <w:pPr>
              <w:pStyle w:val="SCCLsocParty"/>
              <w:rPr>
                <w:lang w:val="en-US"/>
              </w:rPr>
            </w:pPr>
            <w:r w:rsidRPr="007428D5">
              <w:rPr>
                <w:lang w:val="en-US"/>
              </w:rPr>
              <w:t>Commissioner of Firearms</w:t>
            </w:r>
            <w:r w:rsidR="00A10DE7" w:rsidRPr="007428D5">
              <w:rPr>
                <w:lang w:val="en-US"/>
              </w:rPr>
              <w:t xml:space="preserve"> and</w:t>
            </w:r>
          </w:p>
          <w:p w:rsidR="0077712E" w:rsidRDefault="007428D5">
            <w:pPr>
              <w:pStyle w:val="SCCLsocParty"/>
              <w:rPr>
                <w:lang w:val="en-US"/>
              </w:rPr>
            </w:pPr>
            <w:r w:rsidRPr="007428D5">
              <w:rPr>
                <w:lang w:val="en-US"/>
              </w:rPr>
              <w:t>Registrar</w:t>
            </w:r>
            <w:r w:rsidR="00676E92">
              <w:rPr>
                <w:lang w:val="en-US"/>
              </w:rPr>
              <w:t xml:space="preserve"> of Firearms</w:t>
            </w:r>
            <w:r w:rsidR="006928CB" w:rsidRPr="007428D5">
              <w:rPr>
                <w:lang w:val="en-US"/>
              </w:rPr>
              <w:br/>
            </w:r>
          </w:p>
          <w:p w:rsidR="00676E92" w:rsidRPr="00676E92" w:rsidRDefault="00676E92" w:rsidP="00676E92">
            <w:pPr>
              <w:rPr>
                <w:lang w:val="en-US"/>
              </w:rPr>
            </w:pPr>
          </w:p>
          <w:p w:rsidR="00A10DE7" w:rsidRDefault="006928CB" w:rsidP="00A10DE7">
            <w:pPr>
              <w:pStyle w:val="SCCLsocPartyRole"/>
            </w:pPr>
            <w:proofErr w:type="spellStart"/>
            <w:r>
              <w:t>Respondents</w:t>
            </w:r>
            <w:proofErr w:type="spellEnd"/>
            <w:r>
              <w:br/>
            </w:r>
          </w:p>
          <w:p w:rsidR="00A10DE7" w:rsidRDefault="00A10DE7" w:rsidP="00A10DE7">
            <w:pPr>
              <w:pStyle w:val="SCCLsocVersus"/>
            </w:pPr>
            <w:r>
              <w:t>- and -</w:t>
            </w:r>
            <w:r>
              <w:br/>
            </w:r>
          </w:p>
          <w:p w:rsidR="0077712E" w:rsidRDefault="00676E92">
            <w:pPr>
              <w:pStyle w:val="SCCLsocParty"/>
            </w:pPr>
            <w:r>
              <w:t xml:space="preserve">Chief </w:t>
            </w:r>
            <w:proofErr w:type="spellStart"/>
            <w:r>
              <w:t>Firearms</w:t>
            </w:r>
            <w:proofErr w:type="spellEnd"/>
            <w:r>
              <w:t xml:space="preserve"> </w:t>
            </w:r>
            <w:proofErr w:type="spellStart"/>
            <w:r>
              <w:t>Officer</w:t>
            </w:r>
            <w:proofErr w:type="spellEnd"/>
            <w:r w:rsidR="006928CB">
              <w:br/>
            </w:r>
          </w:p>
          <w:p w:rsidR="0077712E" w:rsidRDefault="006928CB">
            <w:pPr>
              <w:pStyle w:val="SCCLsocPartyRole"/>
            </w:pPr>
            <w:r>
              <w:t>Intervener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76E92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lastRenderedPageBreak/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A07A67" w:rsidP="00A07A67">
            <w:pPr>
              <w:jc w:val="both"/>
            </w:pPr>
            <w:r>
              <w:t xml:space="preserve">La requête pour sursis d’exécution est accueillie. Les requêtes pour permission d’intervenir </w:t>
            </w:r>
            <w:r w:rsidR="001E5B94">
              <w:t xml:space="preserve">de la Coalition pour </w:t>
            </w:r>
            <w:r w:rsidR="00A21911">
              <w:t xml:space="preserve">le </w:t>
            </w:r>
            <w:r w:rsidR="001E5B94">
              <w:t xml:space="preserve">contrôle des armes et de la </w:t>
            </w:r>
            <w:proofErr w:type="spellStart"/>
            <w:r w:rsidR="001E5B94">
              <w:t>Canada’s</w:t>
            </w:r>
            <w:proofErr w:type="spellEnd"/>
            <w:r w:rsidR="001E5B94">
              <w:t xml:space="preserve"> National </w:t>
            </w:r>
            <w:proofErr w:type="spellStart"/>
            <w:r w:rsidR="001E5B94">
              <w:t>Firearms</w:t>
            </w:r>
            <w:proofErr w:type="spellEnd"/>
            <w:r w:rsidR="001E5B94">
              <w:t xml:space="preserve"> Association </w:t>
            </w:r>
            <w:r>
              <w:t xml:space="preserve">sont rejetées sous réserve de leur droit </w:t>
            </w:r>
            <w:r w:rsidR="001E5B94">
              <w:t xml:space="preserve">respectif </w:t>
            </w:r>
            <w:r>
              <w:t xml:space="preserve">de demander l’autorisation d’intervenir dans l’appel.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500-09-023030-125</w:t>
            </w:r>
            <w:r w:rsidR="0027081E" w:rsidRPr="001E26DB">
              <w:t xml:space="preserve">, </w:t>
            </w:r>
            <w:r w:rsidR="001E5B94">
              <w:t xml:space="preserve">2013 QCCA 1138, </w:t>
            </w:r>
            <w:r w:rsidR="0027081E" w:rsidRPr="001E26DB">
              <w:t xml:space="preserve">daté du </w:t>
            </w:r>
            <w:r w:rsidR="0027081E">
              <w:t>27 juin 2013</w:t>
            </w:r>
            <w:r w:rsidR="0027081E" w:rsidRPr="001E26DB">
              <w:t xml:space="preserve">, est </w:t>
            </w:r>
            <w:r>
              <w:t>accueillie avec dépens selon l’issue de la cause.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A07A67" w:rsidP="004B5241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 stay of execution is granted. </w:t>
            </w:r>
            <w:r w:rsidR="004B5241">
              <w:rPr>
                <w:lang w:val="en-CA"/>
              </w:rPr>
              <w:t xml:space="preserve">The motions for leave to intervene </w:t>
            </w:r>
            <w:r w:rsidR="00B848FF">
              <w:rPr>
                <w:lang w:val="en-CA"/>
              </w:rPr>
              <w:t xml:space="preserve">of the Coalition for Gun Control and Canada’s National Firearms Association </w:t>
            </w:r>
            <w:r w:rsidR="004B5241">
              <w:rPr>
                <w:lang w:val="en-CA"/>
              </w:rPr>
              <w:t xml:space="preserve">are dismissed without prejudice to their </w:t>
            </w:r>
            <w:r w:rsidR="00B848FF">
              <w:rPr>
                <w:lang w:val="en-CA"/>
              </w:rPr>
              <w:t xml:space="preserve">respective </w:t>
            </w:r>
            <w:r w:rsidR="004B5241">
              <w:rPr>
                <w:lang w:val="en-CA"/>
              </w:rPr>
              <w:t xml:space="preserve">right to apply for leave to intervene in the appeal.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A10DE7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A10DE7">
              <w:rPr>
                <w:lang w:val="en-US"/>
              </w:rPr>
              <w:t>500-09-023030-125</w:t>
            </w:r>
            <w:r w:rsidR="0027081E" w:rsidRPr="001E26DB">
              <w:rPr>
                <w:lang w:val="en-CA"/>
              </w:rPr>
              <w:t xml:space="preserve">, </w:t>
            </w:r>
            <w:r w:rsidR="00B848FF">
              <w:rPr>
                <w:lang w:val="en-CA"/>
              </w:rPr>
              <w:t xml:space="preserve">2013 QCCA 1138,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A10DE7">
              <w:rPr>
                <w:lang w:val="en-US"/>
              </w:rPr>
              <w:t>June 27, 2013</w:t>
            </w:r>
            <w:r w:rsidR="004B5241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4B5241">
              <w:rPr>
                <w:lang w:val="en-CA"/>
              </w:rPr>
              <w:t>granted with costs in the cause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A10DE7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2C3A6D">
      <w:pPr>
        <w:jc w:val="center"/>
        <w:rPr>
          <w:lang w:val="en-US"/>
        </w:rPr>
      </w:pPr>
      <w:proofErr w:type="gramStart"/>
      <w:r w:rsidRPr="00A10DE7">
        <w:rPr>
          <w:lang w:val="en-US"/>
        </w:rPr>
        <w:t>J.S.C.C.</w:t>
      </w:r>
      <w:proofErr w:type="gramEnd"/>
      <w:r w:rsidR="002C3A6D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D15A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D15A4" w:rsidRPr="00417FB7">
      <w:rPr>
        <w:szCs w:val="24"/>
      </w:rPr>
      <w:fldChar w:fldCharType="separate"/>
    </w:r>
    <w:r w:rsidR="00A21911">
      <w:rPr>
        <w:noProof/>
        <w:szCs w:val="24"/>
      </w:rPr>
      <w:t>2</w:t>
    </w:r>
    <w:r w:rsidR="009D15A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35448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1E5B94"/>
    <w:rsid w:val="002030E6"/>
    <w:rsid w:val="00203642"/>
    <w:rsid w:val="00215653"/>
    <w:rsid w:val="0027081E"/>
    <w:rsid w:val="002B5FA6"/>
    <w:rsid w:val="002C29B6"/>
    <w:rsid w:val="002C3A6D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B5241"/>
    <w:rsid w:val="00504B7F"/>
    <w:rsid w:val="00524C94"/>
    <w:rsid w:val="00563E2C"/>
    <w:rsid w:val="005842FE"/>
    <w:rsid w:val="005873F3"/>
    <w:rsid w:val="00587869"/>
    <w:rsid w:val="005918AD"/>
    <w:rsid w:val="005B69C9"/>
    <w:rsid w:val="00614908"/>
    <w:rsid w:val="0064672C"/>
    <w:rsid w:val="00650109"/>
    <w:rsid w:val="00655333"/>
    <w:rsid w:val="00676E92"/>
    <w:rsid w:val="006928CB"/>
    <w:rsid w:val="006935F7"/>
    <w:rsid w:val="006C1359"/>
    <w:rsid w:val="00701109"/>
    <w:rsid w:val="007372EA"/>
    <w:rsid w:val="007428D5"/>
    <w:rsid w:val="0076003F"/>
    <w:rsid w:val="0077712E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15A4"/>
    <w:rsid w:val="009D45DF"/>
    <w:rsid w:val="009E0F71"/>
    <w:rsid w:val="009E7A46"/>
    <w:rsid w:val="009F436C"/>
    <w:rsid w:val="00A03153"/>
    <w:rsid w:val="00A07A67"/>
    <w:rsid w:val="00A103E3"/>
    <w:rsid w:val="00A10DE7"/>
    <w:rsid w:val="00A14904"/>
    <w:rsid w:val="00A16F62"/>
    <w:rsid w:val="00A21911"/>
    <w:rsid w:val="00AB5E22"/>
    <w:rsid w:val="00AE2077"/>
    <w:rsid w:val="00AF1D29"/>
    <w:rsid w:val="00B37AA5"/>
    <w:rsid w:val="00B408F8"/>
    <w:rsid w:val="00B41C8D"/>
    <w:rsid w:val="00B5078E"/>
    <w:rsid w:val="00B60EDC"/>
    <w:rsid w:val="00B848FF"/>
    <w:rsid w:val="00BA7D71"/>
    <w:rsid w:val="00BD2A96"/>
    <w:rsid w:val="00BF7644"/>
    <w:rsid w:val="00C2612E"/>
    <w:rsid w:val="00C609B7"/>
    <w:rsid w:val="00C76166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09F6-C20C-4423-BD6C-69A29FD4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NORMAND LYNE</cp:lastModifiedBy>
  <cp:revision>12</cp:revision>
  <cp:lastPrinted>2013-11-19T15:01:00Z</cp:lastPrinted>
  <dcterms:created xsi:type="dcterms:W3CDTF">2013-10-18T12:50:00Z</dcterms:created>
  <dcterms:modified xsi:type="dcterms:W3CDTF">2013-11-19T15:04:00Z</dcterms:modified>
</cp:coreProperties>
</file>