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CC1BC9" w:rsidRDefault="00CC1BC9"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35588</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CC1BC9" w:rsidP="008262A3">
            <w:r>
              <w:t>January 23</w:t>
            </w:r>
            <w:r w:rsidR="00EF707C">
              <w:t>, 2014</w:t>
            </w:r>
          </w:p>
        </w:tc>
        <w:tc>
          <w:tcPr>
            <w:tcW w:w="381" w:type="pct"/>
          </w:tcPr>
          <w:p w:rsidR="00417FB7" w:rsidRPr="006E7BAE" w:rsidRDefault="00417FB7" w:rsidP="00382FEC"/>
        </w:tc>
        <w:tc>
          <w:tcPr>
            <w:tcW w:w="2350" w:type="pct"/>
          </w:tcPr>
          <w:p w:rsidR="00417FB7" w:rsidRPr="00D83B8C" w:rsidRDefault="00EF707C" w:rsidP="00CC1BC9">
            <w:pPr>
              <w:rPr>
                <w:lang w:val="en-US"/>
              </w:rPr>
            </w:pPr>
            <w:r>
              <w:t xml:space="preserve">Le </w:t>
            </w:r>
            <w:r w:rsidR="00CC1BC9">
              <w:t>23</w:t>
            </w:r>
            <w:r>
              <w:t xml:space="preserve"> janvier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527F13" w:rsidTr="00C173B0">
        <w:tc>
          <w:tcPr>
            <w:tcW w:w="2269" w:type="pct"/>
          </w:tcPr>
          <w:p w:rsidR="00417FB7" w:rsidRPr="006E7BAE" w:rsidRDefault="00417FB7" w:rsidP="008262A3">
            <w:r w:rsidRPr="006E7BAE">
              <w:t xml:space="preserve">Coram:  </w:t>
            </w:r>
            <w:r>
              <w:t>McLachlin C.J. and Cromwell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59314A">
              <w:rPr>
                <w:lang w:val="fr-CA"/>
              </w:rPr>
              <w:t>La juge en chef McLachlin et les juges Cromwell et Wagner</w:t>
            </w:r>
          </w:p>
        </w:tc>
      </w:tr>
      <w:tr w:rsidR="00C2612E" w:rsidRPr="00527F13" w:rsidTr="00C173B0">
        <w:tc>
          <w:tcPr>
            <w:tcW w:w="2269" w:type="pct"/>
            <w:tcMar>
              <w:top w:w="0" w:type="dxa"/>
              <w:bottom w:w="0" w:type="dxa"/>
            </w:tcMar>
          </w:tcPr>
          <w:p w:rsidR="00C2612E" w:rsidRPr="0059314A" w:rsidRDefault="00C2612E" w:rsidP="008262A3">
            <w:pPr>
              <w:rPr>
                <w:lang w:val="fr-CA"/>
              </w:rPr>
            </w:pPr>
          </w:p>
        </w:tc>
        <w:tc>
          <w:tcPr>
            <w:tcW w:w="381" w:type="pct"/>
            <w:tcMar>
              <w:top w:w="0" w:type="dxa"/>
              <w:bottom w:w="0" w:type="dxa"/>
            </w:tcMar>
          </w:tcPr>
          <w:p w:rsidR="00C2612E" w:rsidRPr="0059314A"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A60CF4" w:rsidRDefault="00CC1BC9">
            <w:pPr>
              <w:pStyle w:val="SCCLsocPrefix"/>
            </w:pPr>
            <w:r>
              <w:t>BETWEEN:</w:t>
            </w:r>
            <w:r>
              <w:br/>
            </w:r>
          </w:p>
          <w:p w:rsidR="00A60CF4" w:rsidRDefault="00CC1BC9">
            <w:pPr>
              <w:pStyle w:val="SCCLsocParty"/>
            </w:pPr>
            <w:r>
              <w:t>Larry Peter Klippenstein</w:t>
            </w:r>
            <w:r>
              <w:br/>
            </w:r>
          </w:p>
          <w:p w:rsidR="00A60CF4" w:rsidRDefault="00CC1BC9">
            <w:pPr>
              <w:pStyle w:val="SCCLsocPartyRole"/>
            </w:pPr>
            <w:r>
              <w:t>Applicant</w:t>
            </w:r>
            <w:r>
              <w:br/>
            </w:r>
          </w:p>
          <w:p w:rsidR="00A60CF4" w:rsidRDefault="00CC1BC9">
            <w:pPr>
              <w:pStyle w:val="SCCLsocVersus"/>
            </w:pPr>
            <w:r>
              <w:t>- and -</w:t>
            </w:r>
            <w:r>
              <w:br/>
            </w:r>
          </w:p>
          <w:p w:rsidR="00A60CF4" w:rsidRDefault="00CC1BC9">
            <w:pPr>
              <w:pStyle w:val="SCCLsocParty"/>
            </w:pPr>
            <w:r>
              <w:t>Manitoba Human Rights Commission</w:t>
            </w:r>
            <w:r>
              <w:br/>
            </w:r>
          </w:p>
          <w:p w:rsidR="00CC1BC9" w:rsidRDefault="00CC1BC9">
            <w:pPr>
              <w:pStyle w:val="SCCLsocPartyRole"/>
            </w:pPr>
          </w:p>
          <w:p w:rsidR="00A60CF4" w:rsidRDefault="00CC1BC9">
            <w:pPr>
              <w:pStyle w:val="SCCLsocPartyRole"/>
            </w:pPr>
            <w:r>
              <w:t>Respondent</w:t>
            </w:r>
          </w:p>
        </w:tc>
        <w:tc>
          <w:tcPr>
            <w:tcW w:w="381" w:type="pct"/>
          </w:tcPr>
          <w:p w:rsidR="00824412" w:rsidRPr="006E7BAE" w:rsidRDefault="00824412" w:rsidP="00375294"/>
        </w:tc>
        <w:tc>
          <w:tcPr>
            <w:tcW w:w="2350" w:type="pct"/>
          </w:tcPr>
          <w:p w:rsidR="00A60CF4" w:rsidRPr="0059314A" w:rsidRDefault="00CC1BC9">
            <w:pPr>
              <w:pStyle w:val="SCCLsocPrefix"/>
              <w:rPr>
                <w:lang w:val="fr-CA"/>
              </w:rPr>
            </w:pPr>
            <w:r w:rsidRPr="0059314A">
              <w:rPr>
                <w:lang w:val="fr-CA"/>
              </w:rPr>
              <w:t>ENTRE :</w:t>
            </w:r>
            <w:r w:rsidRPr="0059314A">
              <w:rPr>
                <w:lang w:val="fr-CA"/>
              </w:rPr>
              <w:br/>
            </w:r>
          </w:p>
          <w:p w:rsidR="00A60CF4" w:rsidRPr="0059314A" w:rsidRDefault="00CC1BC9">
            <w:pPr>
              <w:pStyle w:val="SCCLsocParty"/>
              <w:rPr>
                <w:lang w:val="fr-CA"/>
              </w:rPr>
            </w:pPr>
            <w:r w:rsidRPr="0059314A">
              <w:rPr>
                <w:lang w:val="fr-CA"/>
              </w:rPr>
              <w:t>Larry Peter Klippenstein</w:t>
            </w:r>
            <w:r w:rsidRPr="0059314A">
              <w:rPr>
                <w:lang w:val="fr-CA"/>
              </w:rPr>
              <w:br/>
            </w:r>
          </w:p>
          <w:p w:rsidR="00A60CF4" w:rsidRPr="0059314A" w:rsidRDefault="00CC1BC9">
            <w:pPr>
              <w:pStyle w:val="SCCLsocPartyRole"/>
              <w:rPr>
                <w:lang w:val="fr-CA"/>
              </w:rPr>
            </w:pPr>
            <w:r w:rsidRPr="0059314A">
              <w:rPr>
                <w:lang w:val="fr-CA"/>
              </w:rPr>
              <w:t>Demandeur</w:t>
            </w:r>
            <w:r w:rsidRPr="0059314A">
              <w:rPr>
                <w:lang w:val="fr-CA"/>
              </w:rPr>
              <w:br/>
            </w:r>
          </w:p>
          <w:p w:rsidR="00A60CF4" w:rsidRPr="0059314A" w:rsidRDefault="00CC1BC9">
            <w:pPr>
              <w:pStyle w:val="SCCLsocVersus"/>
              <w:rPr>
                <w:lang w:val="fr-CA"/>
              </w:rPr>
            </w:pPr>
            <w:r w:rsidRPr="0059314A">
              <w:rPr>
                <w:lang w:val="fr-CA"/>
              </w:rPr>
              <w:t>- et -</w:t>
            </w:r>
            <w:r w:rsidRPr="0059314A">
              <w:rPr>
                <w:lang w:val="fr-CA"/>
              </w:rPr>
              <w:br/>
            </w:r>
          </w:p>
          <w:p w:rsidR="00A60CF4" w:rsidRPr="0059314A" w:rsidRDefault="00CC1BC9">
            <w:pPr>
              <w:pStyle w:val="SCCLsocParty"/>
              <w:rPr>
                <w:lang w:val="fr-CA"/>
              </w:rPr>
            </w:pPr>
            <w:r w:rsidRPr="0059314A">
              <w:rPr>
                <w:lang w:val="fr-CA"/>
              </w:rPr>
              <w:t>Commission des droits de la personne du Manitoba</w:t>
            </w:r>
            <w:r w:rsidRPr="0059314A">
              <w:rPr>
                <w:lang w:val="fr-CA"/>
              </w:rPr>
              <w:br/>
            </w:r>
          </w:p>
          <w:p w:rsidR="00A60CF4" w:rsidRDefault="00CC1BC9">
            <w:pPr>
              <w:pStyle w:val="SCCLsocPartyRole"/>
            </w:pPr>
            <w:r>
              <w:t>Intimée</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527F13"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E24AA8" w:rsidRDefault="00824412" w:rsidP="0059314A">
            <w:pPr>
              <w:jc w:val="both"/>
            </w:pPr>
            <w:r w:rsidRPr="006E7BAE">
              <w:t>The</w:t>
            </w:r>
            <w:r w:rsidR="00CC1BC9">
              <w:t xml:space="preserve"> motion </w:t>
            </w:r>
            <w:r w:rsidR="0059314A">
              <w:t>for an extension of</w:t>
            </w:r>
            <w:r w:rsidR="00CC1BC9">
              <w:t xml:space="preserve"> time to serve and file the motion to apply for review and the motion to review the registrar’s decision to send back the application for leave to appeal are dismissed.  The</w:t>
            </w:r>
            <w:r w:rsidRPr="006E7BAE">
              <w:t xml:space="preserve"> app</w:t>
            </w:r>
            <w:r w:rsidR="00011960" w:rsidRPr="006E7BAE">
              <w:t>lication for leave to appeal from the judgment of the</w:t>
            </w:r>
            <w:bookmarkStart w:id="0" w:name="BM_1_"/>
            <w:bookmarkEnd w:id="0"/>
            <w:r w:rsidRPr="006E7BAE">
              <w:t xml:space="preserve"> </w:t>
            </w:r>
            <w:r>
              <w:t>Court of Appeal of Manitoba</w:t>
            </w:r>
            <w:r w:rsidRPr="006E7BAE">
              <w:t xml:space="preserve">, Number </w:t>
            </w:r>
            <w:r>
              <w:t xml:space="preserve">AI </w:t>
            </w:r>
          </w:p>
          <w:p w:rsidR="00E24AA8" w:rsidRDefault="00E24AA8" w:rsidP="0059314A">
            <w:pPr>
              <w:jc w:val="both"/>
            </w:pPr>
          </w:p>
          <w:p w:rsidR="00E24AA8" w:rsidRDefault="00E24AA8" w:rsidP="0059314A">
            <w:pPr>
              <w:jc w:val="both"/>
            </w:pPr>
          </w:p>
          <w:p w:rsidR="00824412" w:rsidRPr="006E7BAE" w:rsidRDefault="00824412" w:rsidP="0059314A">
            <w:pPr>
              <w:jc w:val="both"/>
            </w:pPr>
            <w:r>
              <w:t>12-30-07853, 2013 MBCA 1</w:t>
            </w:r>
            <w:r w:rsidRPr="006E7BAE">
              <w:t xml:space="preserve">, dated </w:t>
            </w:r>
            <w:r>
              <w:t>January 14, 2013</w:t>
            </w:r>
            <w:r w:rsidR="00CC1BC9">
              <w:t>,</w:t>
            </w:r>
            <w:r w:rsidRPr="006E7BAE">
              <w:t xml:space="preserve"> is </w:t>
            </w:r>
            <w:r w:rsidR="00CC1BC9">
              <w:t xml:space="preserve">dismissed without </w:t>
            </w:r>
            <w:r w:rsidR="00CC1BC9">
              <w:lastRenderedPageBreak/>
              <w:t>costs</w:t>
            </w:r>
            <w:r w:rsidRPr="006E7BAE">
              <w:t>.</w:t>
            </w:r>
          </w:p>
        </w:tc>
        <w:tc>
          <w:tcPr>
            <w:tcW w:w="381" w:type="pct"/>
          </w:tcPr>
          <w:p w:rsidR="00824412" w:rsidRPr="006E7BAE" w:rsidRDefault="00824412" w:rsidP="00417FB7">
            <w:pPr>
              <w:jc w:val="center"/>
            </w:pPr>
          </w:p>
        </w:tc>
        <w:tc>
          <w:tcPr>
            <w:tcW w:w="2350" w:type="pct"/>
          </w:tcPr>
          <w:p w:rsidR="00824412" w:rsidRPr="00027018" w:rsidRDefault="00824412" w:rsidP="00C2612E">
            <w:pPr>
              <w:jc w:val="center"/>
              <w:rPr>
                <w:lang w:val="fr-CA"/>
              </w:rPr>
            </w:pPr>
            <w:r w:rsidRPr="00027018">
              <w:rPr>
                <w:lang w:val="fr-CA"/>
              </w:rPr>
              <w:t>JUGEMENT</w:t>
            </w:r>
          </w:p>
          <w:p w:rsidR="00824412" w:rsidRPr="00027018" w:rsidRDefault="00824412" w:rsidP="00417FB7">
            <w:pPr>
              <w:jc w:val="center"/>
              <w:rPr>
                <w:lang w:val="fr-CA"/>
              </w:rPr>
            </w:pPr>
          </w:p>
          <w:p w:rsidR="00E24AA8" w:rsidRDefault="00824412" w:rsidP="00527F13">
            <w:pPr>
              <w:jc w:val="both"/>
              <w:rPr>
                <w:lang w:val="fr-CA"/>
              </w:rPr>
            </w:pPr>
            <w:r w:rsidRPr="00027018">
              <w:rPr>
                <w:lang w:val="fr-CA"/>
              </w:rPr>
              <w:t>L</w:t>
            </w:r>
            <w:r w:rsidR="00011960" w:rsidRPr="00027018">
              <w:rPr>
                <w:lang w:val="fr-CA"/>
              </w:rPr>
              <w:t xml:space="preserve">a </w:t>
            </w:r>
            <w:r w:rsidR="00CC1BC9" w:rsidRPr="00027018">
              <w:rPr>
                <w:lang w:val="fr-CA"/>
              </w:rPr>
              <w:t>requ</w:t>
            </w:r>
            <w:r w:rsidR="00CC1BC9" w:rsidRPr="00027018">
              <w:rPr>
                <w:rFonts w:cs="Times New Roman"/>
                <w:lang w:val="fr-CA"/>
              </w:rPr>
              <w:t>ê</w:t>
            </w:r>
            <w:r w:rsidR="00CC1BC9" w:rsidRPr="00027018">
              <w:rPr>
                <w:lang w:val="fr-CA"/>
              </w:rPr>
              <w:t>te en prorogation du d</w:t>
            </w:r>
            <w:r w:rsidR="00CC1BC9" w:rsidRPr="00027018">
              <w:rPr>
                <w:rFonts w:cs="Times New Roman"/>
                <w:lang w:val="fr-CA"/>
              </w:rPr>
              <w:t>é</w:t>
            </w:r>
            <w:r w:rsidR="00CC1BC9" w:rsidRPr="00027018">
              <w:rPr>
                <w:lang w:val="fr-CA"/>
              </w:rPr>
              <w:t xml:space="preserve">lai </w:t>
            </w:r>
            <w:r w:rsidR="00527F13">
              <w:rPr>
                <w:lang w:val="fr-CA"/>
              </w:rPr>
              <w:t>de signification et de dépôt de</w:t>
            </w:r>
            <w:r w:rsidR="0059314A" w:rsidRPr="00027018">
              <w:rPr>
                <w:lang w:val="fr-CA"/>
              </w:rPr>
              <w:t xml:space="preserve"> la </w:t>
            </w:r>
            <w:r w:rsidR="00CC1BC9" w:rsidRPr="00027018">
              <w:rPr>
                <w:lang w:val="fr-CA"/>
              </w:rPr>
              <w:t>requ</w:t>
            </w:r>
            <w:r w:rsidR="00CC1BC9" w:rsidRPr="00027018">
              <w:rPr>
                <w:rFonts w:cs="Times New Roman"/>
                <w:lang w:val="fr-CA"/>
              </w:rPr>
              <w:t>ê</w:t>
            </w:r>
            <w:r w:rsidR="00CC1BC9" w:rsidRPr="00027018">
              <w:rPr>
                <w:lang w:val="fr-CA"/>
              </w:rPr>
              <w:t xml:space="preserve">te </w:t>
            </w:r>
            <w:r w:rsidR="0059314A" w:rsidRPr="00027018">
              <w:rPr>
                <w:lang w:val="fr-CA"/>
              </w:rPr>
              <w:t>en</w:t>
            </w:r>
            <w:r w:rsidR="00CC1BC9" w:rsidRPr="00027018">
              <w:rPr>
                <w:lang w:val="fr-CA"/>
              </w:rPr>
              <w:t xml:space="preserve"> r</w:t>
            </w:r>
            <w:r w:rsidR="00CC1BC9" w:rsidRPr="00027018">
              <w:rPr>
                <w:rFonts w:cs="Times New Roman"/>
                <w:lang w:val="fr-CA"/>
              </w:rPr>
              <w:t>é</w:t>
            </w:r>
            <w:r w:rsidR="00117EE2" w:rsidRPr="00027018">
              <w:rPr>
                <w:lang w:val="fr-CA"/>
              </w:rPr>
              <w:t>vision ainsi que</w:t>
            </w:r>
            <w:r w:rsidR="00CC1BC9" w:rsidRPr="00027018">
              <w:rPr>
                <w:lang w:val="fr-CA"/>
              </w:rPr>
              <w:t xml:space="preserve"> la requ</w:t>
            </w:r>
            <w:r w:rsidR="00CC1BC9" w:rsidRPr="00027018">
              <w:rPr>
                <w:rFonts w:cs="Times New Roman"/>
                <w:lang w:val="fr-CA"/>
              </w:rPr>
              <w:t>ê</w:t>
            </w:r>
            <w:r w:rsidR="00CC1BC9" w:rsidRPr="00027018">
              <w:rPr>
                <w:lang w:val="fr-CA"/>
              </w:rPr>
              <w:t xml:space="preserve">te </w:t>
            </w:r>
            <w:r w:rsidR="0059314A" w:rsidRPr="00027018">
              <w:rPr>
                <w:lang w:val="fr-CA"/>
              </w:rPr>
              <w:t>en</w:t>
            </w:r>
            <w:r w:rsidR="00CC1BC9" w:rsidRPr="00027018">
              <w:rPr>
                <w:lang w:val="fr-CA"/>
              </w:rPr>
              <w:t xml:space="preserve"> r</w:t>
            </w:r>
            <w:r w:rsidR="00CC1BC9" w:rsidRPr="00027018">
              <w:rPr>
                <w:rFonts w:cs="Times New Roman"/>
                <w:lang w:val="fr-CA"/>
              </w:rPr>
              <w:t>é</w:t>
            </w:r>
            <w:r w:rsidR="00CC1BC9" w:rsidRPr="00027018">
              <w:rPr>
                <w:lang w:val="fr-CA"/>
              </w:rPr>
              <w:t>vision de la d</w:t>
            </w:r>
            <w:r w:rsidR="00CC1BC9" w:rsidRPr="00027018">
              <w:rPr>
                <w:rFonts w:cs="Times New Roman"/>
                <w:lang w:val="fr-CA"/>
              </w:rPr>
              <w:t>é</w:t>
            </w:r>
            <w:r w:rsidR="00CC1BC9" w:rsidRPr="00027018">
              <w:rPr>
                <w:lang w:val="fr-CA"/>
              </w:rPr>
              <w:t xml:space="preserve">cision du registraire </w:t>
            </w:r>
            <w:r w:rsidR="00117EE2" w:rsidRPr="00027018">
              <w:rPr>
                <w:lang w:val="fr-CA"/>
              </w:rPr>
              <w:t>d</w:t>
            </w:r>
            <w:r w:rsidR="00027018" w:rsidRPr="00027018">
              <w:rPr>
                <w:lang w:val="fr-CA"/>
              </w:rPr>
              <w:t xml:space="preserve">e </w:t>
            </w:r>
            <w:r w:rsidR="00117EE2" w:rsidRPr="00027018">
              <w:rPr>
                <w:lang w:val="fr-CA"/>
              </w:rPr>
              <w:t>retourn</w:t>
            </w:r>
            <w:r w:rsidR="00027018" w:rsidRPr="00027018">
              <w:rPr>
                <w:lang w:val="fr-CA"/>
              </w:rPr>
              <w:t>er</w:t>
            </w:r>
            <w:r w:rsidR="00CC1BC9" w:rsidRPr="00027018">
              <w:rPr>
                <w:lang w:val="fr-CA"/>
              </w:rPr>
              <w:t xml:space="preserve"> la demande d’autorisation d’appel sont rejet</w:t>
            </w:r>
            <w:r w:rsidR="00CC1BC9" w:rsidRPr="00027018">
              <w:rPr>
                <w:rFonts w:cs="Times New Roman"/>
                <w:lang w:val="fr-CA"/>
              </w:rPr>
              <w:t>é</w:t>
            </w:r>
            <w:r w:rsidR="00CC1BC9" w:rsidRPr="00027018">
              <w:rPr>
                <w:lang w:val="fr-CA"/>
              </w:rPr>
              <w:t xml:space="preserve">es.  La </w:t>
            </w:r>
            <w:r w:rsidR="00011960" w:rsidRPr="00027018">
              <w:rPr>
                <w:lang w:val="fr-CA"/>
              </w:rPr>
              <w:t>demande d’autorisation d’appel de l’arrêt de la</w:t>
            </w:r>
            <w:r w:rsidRPr="00027018">
              <w:rPr>
                <w:lang w:val="fr-CA"/>
              </w:rPr>
              <w:t xml:space="preserve"> Cour d’appel du Manitoba, numéro AI </w:t>
            </w:r>
          </w:p>
          <w:p w:rsidR="00E24AA8" w:rsidRDefault="00E24AA8" w:rsidP="00527F13">
            <w:pPr>
              <w:jc w:val="both"/>
              <w:rPr>
                <w:lang w:val="fr-CA"/>
              </w:rPr>
            </w:pPr>
          </w:p>
          <w:p w:rsidR="00E24AA8" w:rsidRDefault="00E24AA8" w:rsidP="00527F13">
            <w:pPr>
              <w:jc w:val="both"/>
              <w:rPr>
                <w:lang w:val="fr-CA"/>
              </w:rPr>
            </w:pPr>
          </w:p>
          <w:p w:rsidR="00824412" w:rsidRPr="00027018" w:rsidRDefault="00824412" w:rsidP="00527F13">
            <w:pPr>
              <w:jc w:val="both"/>
              <w:rPr>
                <w:lang w:val="fr-CA"/>
              </w:rPr>
            </w:pPr>
            <w:r w:rsidRPr="00027018">
              <w:rPr>
                <w:lang w:val="fr-CA"/>
              </w:rPr>
              <w:t xml:space="preserve">12-30-07853, 2013 MBCA 1, </w:t>
            </w:r>
            <w:r w:rsidR="00011960" w:rsidRPr="00027018">
              <w:rPr>
                <w:lang w:val="fr-CA"/>
              </w:rPr>
              <w:t>daté du</w:t>
            </w:r>
            <w:r w:rsidRPr="00027018">
              <w:rPr>
                <w:lang w:val="fr-CA"/>
              </w:rPr>
              <w:t xml:space="preserve"> 14 janvier 2013, est </w:t>
            </w:r>
            <w:r w:rsidR="00CC1BC9" w:rsidRPr="00027018">
              <w:rPr>
                <w:lang w:val="fr-CA"/>
              </w:rPr>
              <w:t>rejet</w:t>
            </w:r>
            <w:r w:rsidR="00CC1BC9" w:rsidRPr="00027018">
              <w:rPr>
                <w:rFonts w:cs="Times New Roman"/>
                <w:lang w:val="fr-CA"/>
              </w:rPr>
              <w:t>é</w:t>
            </w:r>
            <w:r w:rsidR="00CC1BC9" w:rsidRPr="00027018">
              <w:rPr>
                <w:lang w:val="fr-CA"/>
              </w:rPr>
              <w:t>e sans d</w:t>
            </w:r>
            <w:r w:rsidR="00CC1BC9" w:rsidRPr="00027018">
              <w:rPr>
                <w:rFonts w:cs="Times New Roman"/>
                <w:lang w:val="fr-CA"/>
              </w:rPr>
              <w:t>é</w:t>
            </w:r>
            <w:r w:rsidR="00CC1BC9" w:rsidRPr="00027018">
              <w:rPr>
                <w:lang w:val="fr-CA"/>
              </w:rPr>
              <w:t>pens.</w:t>
            </w:r>
            <w:r w:rsidR="00011960" w:rsidRPr="00027018">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5A4ABF" w:rsidRPr="00417FB7">
      <w:rPr>
        <w:szCs w:val="24"/>
      </w:rPr>
      <w:fldChar w:fldCharType="begin"/>
    </w:r>
    <w:r w:rsidRPr="00417FB7">
      <w:rPr>
        <w:szCs w:val="24"/>
      </w:rPr>
      <w:instrText xml:space="preserve"> PAGE   \* MERGEFORMAT </w:instrText>
    </w:r>
    <w:r w:rsidR="005A4ABF" w:rsidRPr="00417FB7">
      <w:rPr>
        <w:szCs w:val="24"/>
      </w:rPr>
      <w:fldChar w:fldCharType="separate"/>
    </w:r>
    <w:r w:rsidR="00E24AA8">
      <w:rPr>
        <w:noProof/>
        <w:szCs w:val="24"/>
      </w:rPr>
      <w:t>2</w:t>
    </w:r>
    <w:r w:rsidR="005A4ABF"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35588</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27018"/>
    <w:rsid w:val="000306C6"/>
    <w:rsid w:val="0003701B"/>
    <w:rsid w:val="0004338D"/>
    <w:rsid w:val="00054D01"/>
    <w:rsid w:val="00057FAF"/>
    <w:rsid w:val="00074657"/>
    <w:rsid w:val="00091327"/>
    <w:rsid w:val="000919B4"/>
    <w:rsid w:val="000A70E9"/>
    <w:rsid w:val="000B4AA7"/>
    <w:rsid w:val="000B76FF"/>
    <w:rsid w:val="000D7521"/>
    <w:rsid w:val="000E4CCE"/>
    <w:rsid w:val="00110EB3"/>
    <w:rsid w:val="00117EE2"/>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27F13"/>
    <w:rsid w:val="0055345D"/>
    <w:rsid w:val="00563E2C"/>
    <w:rsid w:val="00587869"/>
    <w:rsid w:val="0059314A"/>
    <w:rsid w:val="005A4ABF"/>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D4662"/>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60CF4"/>
    <w:rsid w:val="00AB4A38"/>
    <w:rsid w:val="00AB5E22"/>
    <w:rsid w:val="00AE2077"/>
    <w:rsid w:val="00B158E3"/>
    <w:rsid w:val="00B408F8"/>
    <w:rsid w:val="00B5078E"/>
    <w:rsid w:val="00B60EDC"/>
    <w:rsid w:val="00BC39BE"/>
    <w:rsid w:val="00BD4E4C"/>
    <w:rsid w:val="00BF7644"/>
    <w:rsid w:val="00C1285B"/>
    <w:rsid w:val="00C173B0"/>
    <w:rsid w:val="00C2612E"/>
    <w:rsid w:val="00C27504"/>
    <w:rsid w:val="00CC1BC9"/>
    <w:rsid w:val="00CE249F"/>
    <w:rsid w:val="00CF17D0"/>
    <w:rsid w:val="00D42339"/>
    <w:rsid w:val="00D61AC2"/>
    <w:rsid w:val="00D83B8C"/>
    <w:rsid w:val="00DA4281"/>
    <w:rsid w:val="00DB1ADC"/>
    <w:rsid w:val="00E12A51"/>
    <w:rsid w:val="00E24AA8"/>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1026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2014-01-21T14:56:00Z</dcterms:created>
  <dcterms:modified xsi:type="dcterms:W3CDTF">2014-01-21T14:56:00Z</dcterms:modified>
</cp:coreProperties>
</file>