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EF4EF2" w:rsidRPr="001E26DB" w:rsidRDefault="00EF4EF2" w:rsidP="00382FEC"/>
    <w:p w:rsidR="009F436C" w:rsidRPr="001E26DB" w:rsidRDefault="009F436C" w:rsidP="00382FEC"/>
    <w:p w:rsidR="009F436C" w:rsidRDefault="009F436C" w:rsidP="00382FEC"/>
    <w:p w:rsidR="002C29B6" w:rsidRDefault="002C29B6" w:rsidP="00382FEC"/>
    <w:p w:rsidR="002C29B6" w:rsidRDefault="002C29B6" w:rsidP="00382FEC"/>
    <w:p w:rsidR="0076003F" w:rsidRDefault="0076003F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9F436C" w:rsidP="00382FEC"/>
    <w:p w:rsidR="009F436C" w:rsidRPr="001E26DB" w:rsidRDefault="00BD2A96" w:rsidP="00AE2077">
      <w:pPr>
        <w:jc w:val="right"/>
      </w:pPr>
      <w:r w:rsidRPr="001E26DB">
        <w:rPr>
          <w:szCs w:val="24"/>
        </w:rPr>
        <w:t>N</w:t>
      </w:r>
      <w:r w:rsidRPr="001E26DB">
        <w:rPr>
          <w:szCs w:val="24"/>
          <w:vertAlign w:val="superscript"/>
        </w:rPr>
        <w:t>o</w:t>
      </w:r>
      <w:r w:rsidR="003A37CF" w:rsidRPr="001E26DB">
        <w:t xml:space="preserve"> </w:t>
      </w:r>
      <w:r>
        <w:t>35514</w:t>
      </w:r>
      <w:r w:rsidR="00E81C0B" w:rsidRPr="001E26DB">
        <w:t>     </w:t>
      </w:r>
    </w:p>
    <w:p w:rsidR="009F436C" w:rsidRPr="001E26DB" w:rsidRDefault="009F436C" w:rsidP="00382FEC"/>
    <w:p w:rsidR="003C744C" w:rsidRPr="001E26DB" w:rsidRDefault="003C744C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F67F03" w:rsidTr="00B37A52">
        <w:tc>
          <w:tcPr>
            <w:tcW w:w="2269" w:type="pct"/>
          </w:tcPr>
          <w:p w:rsidR="00417FB7" w:rsidRPr="001E26DB" w:rsidRDefault="008576EE" w:rsidP="008262A3">
            <w:r>
              <w:t>Le 30</w:t>
            </w:r>
            <w:r w:rsidR="00990F06">
              <w:t xml:space="preserve"> janvier 2014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8576EE" w:rsidP="0027081E">
            <w:pPr>
              <w:rPr>
                <w:lang w:val="en-CA"/>
              </w:rPr>
            </w:pPr>
            <w:proofErr w:type="spellStart"/>
            <w:r>
              <w:t>January</w:t>
            </w:r>
            <w:proofErr w:type="spellEnd"/>
            <w:r>
              <w:t xml:space="preserve"> 30</w:t>
            </w:r>
            <w:r w:rsidR="00990F06">
              <w:t>, 2014</w:t>
            </w:r>
          </w:p>
        </w:tc>
      </w:tr>
      <w:tr w:rsidR="00E12A51" w:rsidRPr="00F67F03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2C29B6" w:rsidRDefault="00C2612E" w:rsidP="008262A3">
            <w:pPr>
              <w:rPr>
                <w:lang w:val="en-US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2C29B6" w:rsidRDefault="00E12A51" w:rsidP="00382FEC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1E26DB" w:rsidRDefault="00E12A51" w:rsidP="00816B78">
            <w:pPr>
              <w:rPr>
                <w:lang w:val="en-CA"/>
              </w:rPr>
            </w:pPr>
          </w:p>
        </w:tc>
      </w:tr>
      <w:tr w:rsidR="00417FB7" w:rsidRPr="001E26DB" w:rsidTr="00B37A52">
        <w:tc>
          <w:tcPr>
            <w:tcW w:w="2269" w:type="pct"/>
          </w:tcPr>
          <w:p w:rsidR="00417FB7" w:rsidRPr="001E26DB" w:rsidRDefault="00417FB7" w:rsidP="007F41D5">
            <w:r w:rsidRPr="001E26DB">
              <w:t>Coram</w:t>
            </w:r>
            <w:r w:rsidR="007F41D5" w:rsidRPr="001E26DB">
              <w:t> </w:t>
            </w:r>
            <w:r w:rsidRPr="001E26DB">
              <w:t xml:space="preserve">: </w:t>
            </w:r>
            <w:r>
              <w:t>La juge en chef McLachlin et les juges Cromwell et Wagner</w:t>
            </w:r>
          </w:p>
        </w:tc>
        <w:tc>
          <w:tcPr>
            <w:tcW w:w="381" w:type="pct"/>
          </w:tcPr>
          <w:p w:rsidR="00417FB7" w:rsidRPr="001E26DB" w:rsidRDefault="00417FB7" w:rsidP="00382FEC"/>
        </w:tc>
        <w:tc>
          <w:tcPr>
            <w:tcW w:w="2350" w:type="pct"/>
          </w:tcPr>
          <w:p w:rsidR="00417FB7" w:rsidRPr="001E26DB" w:rsidRDefault="007F41D5" w:rsidP="00382FEC">
            <w:pPr>
              <w:rPr>
                <w:lang w:val="en-CA"/>
              </w:rPr>
            </w:pPr>
            <w:r w:rsidRPr="001E26DB">
              <w:rPr>
                <w:lang w:val="en-CA"/>
              </w:rPr>
              <w:t>Coram</w:t>
            </w:r>
            <w:r w:rsidR="00417FB7" w:rsidRPr="001E26DB">
              <w:rPr>
                <w:lang w:val="en-CA"/>
              </w:rPr>
              <w:t>:</w:t>
            </w:r>
            <w:r w:rsidRPr="001E26DB">
              <w:rPr>
                <w:lang w:val="en-CA"/>
              </w:rPr>
              <w:t xml:space="preserve"> </w:t>
            </w:r>
            <w:r w:rsidR="00417FB7" w:rsidRPr="001E26DB">
              <w:rPr>
                <w:lang w:val="en-CA"/>
              </w:rPr>
              <w:t xml:space="preserve"> </w:t>
            </w:r>
            <w:r>
              <w:t>McLachlin C.J. and Cromwell and Wagner JJ.</w:t>
            </w:r>
          </w:p>
        </w:tc>
      </w:tr>
      <w:tr w:rsidR="00C2612E" w:rsidRPr="001E26DB" w:rsidTr="00A46E1B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1E26DB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1E26DB" w:rsidRDefault="00C2612E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1E26DB" w:rsidRDefault="00C2612E" w:rsidP="00382FEC">
            <w:pPr>
              <w:rPr>
                <w:lang w:val="en-CA"/>
              </w:rPr>
            </w:pPr>
          </w:p>
        </w:tc>
      </w:tr>
      <w:tr w:rsidR="00824412" w:rsidRPr="00F67F03" w:rsidTr="006A1E6D">
        <w:tc>
          <w:tcPr>
            <w:tcW w:w="2269" w:type="pct"/>
          </w:tcPr>
          <w:p w:rsidR="00FF16AA" w:rsidRDefault="008576EE">
            <w:pPr>
              <w:pStyle w:val="SCCLsocPrefix"/>
            </w:pPr>
            <w:r>
              <w:t>ENTRE :</w:t>
            </w:r>
            <w:r>
              <w:br/>
            </w:r>
          </w:p>
          <w:p w:rsidR="00FF16AA" w:rsidRDefault="008576EE">
            <w:pPr>
              <w:pStyle w:val="SCCLsocParty"/>
            </w:pPr>
            <w:r>
              <w:t>Sylvie Girard</w:t>
            </w:r>
            <w:r>
              <w:br/>
            </w:r>
          </w:p>
          <w:p w:rsidR="00FF16AA" w:rsidRDefault="008576EE">
            <w:pPr>
              <w:pStyle w:val="SCCLsocPartyRole"/>
            </w:pPr>
            <w:r>
              <w:t>Demanderesse</w:t>
            </w:r>
            <w:r>
              <w:br/>
            </w:r>
          </w:p>
          <w:p w:rsidR="00FF16AA" w:rsidRDefault="008576EE">
            <w:pPr>
              <w:pStyle w:val="SCCLsocVersus"/>
            </w:pPr>
            <w:r>
              <w:t>- et -</w:t>
            </w:r>
            <w:r>
              <w:br/>
            </w:r>
          </w:p>
          <w:p w:rsidR="00FF16AA" w:rsidRDefault="008576EE">
            <w:pPr>
              <w:pStyle w:val="SCCLsocParty"/>
            </w:pPr>
            <w:r>
              <w:t>Procureur général du Québec</w:t>
            </w:r>
            <w:r>
              <w:br/>
            </w:r>
          </w:p>
          <w:p w:rsidR="00FF16AA" w:rsidRDefault="008576EE">
            <w:pPr>
              <w:pStyle w:val="SCCLsocPartyRole"/>
            </w:pPr>
            <w:r>
              <w:t>Intimé</w:t>
            </w:r>
          </w:p>
        </w:tc>
        <w:tc>
          <w:tcPr>
            <w:tcW w:w="381" w:type="pct"/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</w:tcPr>
          <w:p w:rsidR="00FF16AA" w:rsidRDefault="008576EE">
            <w:pPr>
              <w:pStyle w:val="SCCLsocPrefix"/>
            </w:pPr>
            <w:r>
              <w:t>BETWEEN:</w:t>
            </w:r>
            <w:r>
              <w:br/>
            </w:r>
          </w:p>
          <w:p w:rsidR="00FF16AA" w:rsidRDefault="008576EE">
            <w:pPr>
              <w:pStyle w:val="SCCLsocParty"/>
            </w:pPr>
            <w:r>
              <w:t>Sylvie Girard</w:t>
            </w:r>
            <w:r>
              <w:br/>
            </w:r>
          </w:p>
          <w:p w:rsidR="00FF16AA" w:rsidRDefault="008576EE">
            <w:pPr>
              <w:pStyle w:val="SCCLsocPartyRole"/>
            </w:pPr>
            <w:proofErr w:type="spellStart"/>
            <w:r>
              <w:t>Applicant</w:t>
            </w:r>
            <w:proofErr w:type="spellEnd"/>
            <w:r>
              <w:br/>
            </w:r>
          </w:p>
          <w:p w:rsidR="00FF16AA" w:rsidRDefault="008576EE">
            <w:pPr>
              <w:pStyle w:val="SCCLsocVersus"/>
            </w:pPr>
            <w:r>
              <w:t>- and -</w:t>
            </w:r>
            <w:r>
              <w:br/>
            </w:r>
          </w:p>
          <w:p w:rsidR="00FF16AA" w:rsidRDefault="008576EE">
            <w:pPr>
              <w:pStyle w:val="SCCLsocParty"/>
            </w:pPr>
            <w:r>
              <w:t xml:space="preserve">Attorney General of </w:t>
            </w:r>
            <w:proofErr w:type="spellStart"/>
            <w:r>
              <w:t>Quebec</w:t>
            </w:r>
            <w:proofErr w:type="spellEnd"/>
            <w:r>
              <w:br/>
            </w:r>
          </w:p>
          <w:p w:rsidR="00FF16AA" w:rsidRDefault="008576EE">
            <w:pPr>
              <w:pStyle w:val="SCCLsocPartyRole"/>
            </w:pPr>
            <w:proofErr w:type="spellStart"/>
            <w:r>
              <w:t>Respondent</w:t>
            </w:r>
            <w:proofErr w:type="spellEnd"/>
          </w:p>
        </w:tc>
      </w:tr>
      <w:tr w:rsidR="00824412" w:rsidRPr="00F67F03" w:rsidTr="00F67F03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961003" w:rsidRDefault="00824412" w:rsidP="00375294">
            <w:pPr>
              <w:rPr>
                <w:lang w:val="en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2C29B6" w:rsidRDefault="00824412" w:rsidP="00375294">
            <w:pPr>
              <w:rPr>
                <w:lang w:val="en-US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1E26DB" w:rsidRDefault="00824412" w:rsidP="00B408F8">
            <w:pPr>
              <w:rPr>
                <w:lang w:val="en-CA"/>
              </w:rPr>
            </w:pPr>
          </w:p>
        </w:tc>
      </w:tr>
      <w:tr w:rsidR="00824412" w:rsidRPr="00F67F03" w:rsidTr="00B37A52">
        <w:tc>
          <w:tcPr>
            <w:tcW w:w="2269" w:type="pct"/>
          </w:tcPr>
          <w:p w:rsidR="0027081E" w:rsidRPr="001E26DB" w:rsidRDefault="0027081E" w:rsidP="0027081E">
            <w:pPr>
              <w:jc w:val="center"/>
            </w:pPr>
            <w:r w:rsidRPr="001E26DB">
              <w:t>JUGEMENT</w:t>
            </w:r>
          </w:p>
          <w:p w:rsidR="0027081E" w:rsidRPr="001E26DB" w:rsidRDefault="0027081E" w:rsidP="0027081E">
            <w:pPr>
              <w:jc w:val="center"/>
            </w:pPr>
          </w:p>
          <w:p w:rsidR="00824412" w:rsidRPr="001E26DB" w:rsidRDefault="008576EE" w:rsidP="008D3634">
            <w:pPr>
              <w:jc w:val="both"/>
            </w:pPr>
            <w:r w:rsidRPr="006E7BAE">
              <w:t xml:space="preserve">La </w:t>
            </w:r>
            <w:r>
              <w:t>requ</w:t>
            </w:r>
            <w:r>
              <w:rPr>
                <w:rFonts w:cs="Times New Roman"/>
              </w:rPr>
              <w:t>ê</w:t>
            </w:r>
            <w:r>
              <w:t>te en prorogation du d</w:t>
            </w:r>
            <w:r>
              <w:rPr>
                <w:rFonts w:cs="Times New Roman"/>
              </w:rPr>
              <w:t>é</w:t>
            </w:r>
            <w:r>
              <w:t>lai de signification et de d</w:t>
            </w:r>
            <w:r>
              <w:rPr>
                <w:rFonts w:cs="Times New Roman"/>
              </w:rPr>
              <w:t>é</w:t>
            </w:r>
            <w:r>
              <w:t>p</w:t>
            </w:r>
            <w:r>
              <w:rPr>
                <w:rFonts w:cs="Times New Roman"/>
              </w:rPr>
              <w:t>ô</w:t>
            </w:r>
            <w:r>
              <w:t>t de la demande d’autorisation d’appel est rejet</w:t>
            </w:r>
            <w:r>
              <w:rPr>
                <w:rFonts w:cs="Times New Roman"/>
              </w:rPr>
              <w:t>é</w:t>
            </w:r>
            <w:r>
              <w:t xml:space="preserve">e.  </w:t>
            </w:r>
            <w:r w:rsidR="008D3634">
              <w:t>Quoi qu’il en soit, m</w:t>
            </w:r>
            <w:r w:rsidR="008D3634">
              <w:rPr>
                <w:rFonts w:cs="Times New Roman"/>
              </w:rPr>
              <w:t>ê</w:t>
            </w:r>
            <w:r w:rsidR="008D3634">
              <w:t>me si la requ</w:t>
            </w:r>
            <w:r w:rsidR="008D3634">
              <w:rPr>
                <w:rFonts w:cs="Times New Roman"/>
              </w:rPr>
              <w:t>ê</w:t>
            </w:r>
            <w:r w:rsidR="008D3634">
              <w:t xml:space="preserve">te avait </w:t>
            </w:r>
            <w:r w:rsidR="008D3634">
              <w:rPr>
                <w:rFonts w:cs="Times New Roman"/>
              </w:rPr>
              <w:t>é</w:t>
            </w:r>
            <w:r w:rsidR="008D3634">
              <w:t>t</w:t>
            </w:r>
            <w:r w:rsidR="008D3634">
              <w:rPr>
                <w:rFonts w:cs="Times New Roman"/>
              </w:rPr>
              <w:t>é</w:t>
            </w:r>
            <w:r w:rsidR="008D3634">
              <w:t xml:space="preserve"> accueillie, la demande d’autorisation d’appel de l’arr</w:t>
            </w:r>
            <w:r w:rsidR="008D3634">
              <w:rPr>
                <w:rFonts w:cs="Times New Roman"/>
              </w:rPr>
              <w:t>ê</w:t>
            </w:r>
            <w:r w:rsidR="008D3634">
              <w:t>t de la Cour d’appel du Qu</w:t>
            </w:r>
            <w:r w:rsidR="008D3634">
              <w:rPr>
                <w:rFonts w:cs="Times New Roman"/>
              </w:rPr>
              <w:t>é</w:t>
            </w:r>
            <w:r w:rsidR="008D3634">
              <w:t>bec (Montr</w:t>
            </w:r>
            <w:r w:rsidR="008D3634">
              <w:rPr>
                <w:rFonts w:cs="Times New Roman"/>
              </w:rPr>
              <w:t>é</w:t>
            </w:r>
            <w:r w:rsidR="008D3634">
              <w:t>al), num</w:t>
            </w:r>
            <w:r w:rsidR="008D3634">
              <w:rPr>
                <w:rFonts w:cs="Times New Roman"/>
              </w:rPr>
              <w:t>é</w:t>
            </w:r>
            <w:r w:rsidR="008D3634">
              <w:t xml:space="preserve">ro 500-09-022790-125, 2012 QCCA 1530, aurait </w:t>
            </w:r>
            <w:r w:rsidR="008D3634">
              <w:rPr>
                <w:rFonts w:cs="Times New Roman"/>
              </w:rPr>
              <w:t>é</w:t>
            </w:r>
            <w:r w:rsidR="008D3634">
              <w:t>t</w:t>
            </w:r>
            <w:r w:rsidR="008D3634">
              <w:rPr>
                <w:rFonts w:cs="Times New Roman"/>
              </w:rPr>
              <w:t>é</w:t>
            </w:r>
            <w:r w:rsidR="008D3634">
              <w:t xml:space="preserve"> rejet</w:t>
            </w:r>
            <w:r w:rsidR="008D3634">
              <w:rPr>
                <w:rFonts w:cs="Times New Roman"/>
              </w:rPr>
              <w:t>é</w:t>
            </w:r>
            <w:r w:rsidR="008D3634">
              <w:t>e.</w:t>
            </w:r>
          </w:p>
        </w:tc>
        <w:tc>
          <w:tcPr>
            <w:tcW w:w="381" w:type="pct"/>
          </w:tcPr>
          <w:p w:rsidR="00824412" w:rsidRPr="001E26DB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27081E" w:rsidRPr="001E26DB" w:rsidRDefault="0027081E" w:rsidP="0027081E">
            <w:pPr>
              <w:jc w:val="center"/>
              <w:rPr>
                <w:lang w:val="en-CA"/>
              </w:rPr>
            </w:pPr>
            <w:r w:rsidRPr="001E26DB">
              <w:rPr>
                <w:lang w:val="en-CA"/>
              </w:rPr>
              <w:t>JUDGMENT</w:t>
            </w:r>
          </w:p>
          <w:p w:rsidR="0027081E" w:rsidRPr="001E26DB" w:rsidRDefault="0027081E" w:rsidP="0027081E">
            <w:pPr>
              <w:jc w:val="center"/>
              <w:rPr>
                <w:lang w:val="en-CA"/>
              </w:rPr>
            </w:pPr>
          </w:p>
          <w:p w:rsidR="00824412" w:rsidRPr="001E26DB" w:rsidRDefault="0027081E" w:rsidP="008D3634">
            <w:pPr>
              <w:jc w:val="both"/>
              <w:rPr>
                <w:lang w:val="en-CA"/>
              </w:rPr>
            </w:pPr>
            <w:r w:rsidRPr="001E26DB">
              <w:rPr>
                <w:lang w:val="en-CA"/>
              </w:rPr>
              <w:t xml:space="preserve">The </w:t>
            </w:r>
            <w:r w:rsidR="008576EE">
              <w:rPr>
                <w:lang w:val="en-CA"/>
              </w:rPr>
              <w:t xml:space="preserve">motion for an extension of time to serve and file the application for leave to appeal is dismissed.  </w:t>
            </w:r>
            <w:r w:rsidR="008D3634">
              <w:rPr>
                <w:lang w:val="en-CA"/>
              </w:rPr>
              <w:t>In any event, had such motion been granted, the application for leave to appeal from the judgment of the Court of Appeal of Quebec (Montreal), Number 500-09-022790-125</w:t>
            </w:r>
            <w:proofErr w:type="gramStart"/>
            <w:r w:rsidR="008D3634">
              <w:rPr>
                <w:lang w:val="en-CA"/>
              </w:rPr>
              <w:t>,  2012</w:t>
            </w:r>
            <w:proofErr w:type="gramEnd"/>
            <w:r w:rsidR="008D3634">
              <w:rPr>
                <w:lang w:val="en-CA"/>
              </w:rPr>
              <w:t xml:space="preserve"> QCCA 1530, would have been dismissed.</w:t>
            </w:r>
          </w:p>
        </w:tc>
      </w:tr>
    </w:tbl>
    <w:p w:rsidR="009F436C" w:rsidRPr="002C29B6" w:rsidRDefault="009F436C" w:rsidP="00382FEC">
      <w:pPr>
        <w:rPr>
          <w:lang w:val="en-US"/>
        </w:rPr>
      </w:pPr>
    </w:p>
    <w:p w:rsidR="009F436C" w:rsidRPr="002C29B6" w:rsidRDefault="009F436C" w:rsidP="00417FB7">
      <w:pPr>
        <w:jc w:val="center"/>
        <w:rPr>
          <w:lang w:val="en-US"/>
        </w:rPr>
      </w:pPr>
    </w:p>
    <w:p w:rsidR="00655333" w:rsidRPr="00F67F03" w:rsidRDefault="00655333" w:rsidP="00655333">
      <w:pPr>
        <w:jc w:val="center"/>
        <w:rPr>
          <w:lang w:val="fr-FR"/>
        </w:rPr>
      </w:pPr>
      <w:r w:rsidRPr="00F67F03">
        <w:rPr>
          <w:lang w:val="fr-FR"/>
        </w:rPr>
        <w:t>J.C.C.</w:t>
      </w:r>
    </w:p>
    <w:p w:rsidR="00655333" w:rsidRPr="00F67F03" w:rsidRDefault="00655333" w:rsidP="008576EE">
      <w:pPr>
        <w:jc w:val="center"/>
        <w:rPr>
          <w:lang w:val="fr-FR"/>
        </w:rPr>
      </w:pPr>
      <w:r w:rsidRPr="00F67F03">
        <w:rPr>
          <w:lang w:val="fr-FR"/>
        </w:rPr>
        <w:t>C.J.C.</w:t>
      </w:r>
    </w:p>
    <w:sectPr w:rsidR="00655333" w:rsidRPr="00F67F03" w:rsidSect="007B340F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8C2" w:rsidRDefault="000978C2">
      <w:r>
        <w:separator/>
      </w:r>
    </w:p>
  </w:endnote>
  <w:endnote w:type="continuationSeparator" w:id="0">
    <w:p w:rsidR="000978C2" w:rsidRDefault="0009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8C2" w:rsidRDefault="000978C2">
      <w:r>
        <w:separator/>
      </w:r>
    </w:p>
  </w:footnote>
  <w:footnote w:type="continuationSeparator" w:id="0">
    <w:p w:rsidR="000978C2" w:rsidRDefault="0009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B64" w:rsidRDefault="00401B64" w:rsidP="00401B64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DE6C93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DE6C93" w:rsidRPr="00417FB7">
      <w:rPr>
        <w:szCs w:val="24"/>
      </w:rPr>
      <w:fldChar w:fldCharType="separate"/>
    </w:r>
    <w:r w:rsidR="008576EE">
      <w:rPr>
        <w:noProof/>
        <w:szCs w:val="24"/>
      </w:rPr>
      <w:t>2</w:t>
    </w:r>
    <w:r w:rsidR="00DE6C93" w:rsidRPr="00417FB7">
      <w:rPr>
        <w:szCs w:val="24"/>
      </w:rPr>
      <w:fldChar w:fldCharType="end"/>
    </w:r>
    <w:r>
      <w:rPr>
        <w:szCs w:val="24"/>
      </w:rPr>
      <w:t xml:space="preserve"> -</w:t>
    </w:r>
  </w:p>
  <w:p w:rsidR="00401B64" w:rsidRDefault="00401B64" w:rsidP="00401B64">
    <w:pPr>
      <w:rPr>
        <w:szCs w:val="24"/>
      </w:rPr>
    </w:pPr>
  </w:p>
  <w:p w:rsidR="00401B64" w:rsidRDefault="00401B64" w:rsidP="00401B64">
    <w:pPr>
      <w:rPr>
        <w:szCs w:val="24"/>
      </w:rPr>
    </w:pPr>
  </w:p>
  <w:p w:rsidR="00401B64" w:rsidRDefault="00BD2A96" w:rsidP="00401B64">
    <w:pPr>
      <w:tabs>
        <w:tab w:val="right" w:pos="9360"/>
      </w:tabs>
      <w:jc w:val="right"/>
      <w:rPr>
        <w:szCs w:val="24"/>
      </w:rPr>
    </w:pPr>
    <w:r>
      <w:rPr>
        <w:szCs w:val="24"/>
      </w:rPr>
      <w:t>N</w:t>
    </w:r>
    <w:r>
      <w:rPr>
        <w:szCs w:val="24"/>
        <w:vertAlign w:val="superscript"/>
      </w:rPr>
      <w:t>o</w:t>
    </w:r>
    <w:r w:rsidR="00401B64">
      <w:rPr>
        <w:szCs w:val="24"/>
      </w:rPr>
      <w:t xml:space="preserve"> </w:t>
    </w:r>
    <w:r>
      <w:t>35514</w:t>
    </w:r>
    <w:r w:rsidR="00401B64">
      <w:rPr>
        <w:szCs w:val="24"/>
      </w:rPr>
      <w:t>     </w:t>
    </w:r>
  </w:p>
  <w:p w:rsidR="00401B64" w:rsidRDefault="00401B64" w:rsidP="00401B6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28B"/>
    <w:rsid w:val="00011960"/>
    <w:rsid w:val="00014928"/>
    <w:rsid w:val="0002577E"/>
    <w:rsid w:val="0003701B"/>
    <w:rsid w:val="0004338D"/>
    <w:rsid w:val="00057FAF"/>
    <w:rsid w:val="00061CAE"/>
    <w:rsid w:val="000919B4"/>
    <w:rsid w:val="000978C2"/>
    <w:rsid w:val="000B76FF"/>
    <w:rsid w:val="000D7521"/>
    <w:rsid w:val="000E4CCE"/>
    <w:rsid w:val="000F44E1"/>
    <w:rsid w:val="00130C0B"/>
    <w:rsid w:val="00195E00"/>
    <w:rsid w:val="001A1CE1"/>
    <w:rsid w:val="001D0116"/>
    <w:rsid w:val="001D4323"/>
    <w:rsid w:val="001E26DB"/>
    <w:rsid w:val="002030E6"/>
    <w:rsid w:val="00203642"/>
    <w:rsid w:val="00215653"/>
    <w:rsid w:val="0027081E"/>
    <w:rsid w:val="002B5FA6"/>
    <w:rsid w:val="002C29B6"/>
    <w:rsid w:val="0031097F"/>
    <w:rsid w:val="0031165C"/>
    <w:rsid w:val="00311ACE"/>
    <w:rsid w:val="003174AD"/>
    <w:rsid w:val="00374E7D"/>
    <w:rsid w:val="00375294"/>
    <w:rsid w:val="00382FEC"/>
    <w:rsid w:val="00385A90"/>
    <w:rsid w:val="003A37CF"/>
    <w:rsid w:val="003B1F3D"/>
    <w:rsid w:val="003B7760"/>
    <w:rsid w:val="003C744C"/>
    <w:rsid w:val="003D7CE6"/>
    <w:rsid w:val="00401B64"/>
    <w:rsid w:val="00414694"/>
    <w:rsid w:val="0041775C"/>
    <w:rsid w:val="00417FB7"/>
    <w:rsid w:val="00430004"/>
    <w:rsid w:val="00474535"/>
    <w:rsid w:val="004943CF"/>
    <w:rsid w:val="004956DA"/>
    <w:rsid w:val="004F63BA"/>
    <w:rsid w:val="00504B7F"/>
    <w:rsid w:val="00524C94"/>
    <w:rsid w:val="00563E2C"/>
    <w:rsid w:val="005873F3"/>
    <w:rsid w:val="00587869"/>
    <w:rsid w:val="005918AD"/>
    <w:rsid w:val="005B69C9"/>
    <w:rsid w:val="00614908"/>
    <w:rsid w:val="0064672C"/>
    <w:rsid w:val="00650109"/>
    <w:rsid w:val="00655333"/>
    <w:rsid w:val="006935F7"/>
    <w:rsid w:val="006A1E6D"/>
    <w:rsid w:val="006C1359"/>
    <w:rsid w:val="006F1DF9"/>
    <w:rsid w:val="00701109"/>
    <w:rsid w:val="007372EA"/>
    <w:rsid w:val="0076003F"/>
    <w:rsid w:val="0079129C"/>
    <w:rsid w:val="007919AE"/>
    <w:rsid w:val="007A54CC"/>
    <w:rsid w:val="007B340F"/>
    <w:rsid w:val="007F41D5"/>
    <w:rsid w:val="00816B78"/>
    <w:rsid w:val="00823BF1"/>
    <w:rsid w:val="00824412"/>
    <w:rsid w:val="008262A3"/>
    <w:rsid w:val="00830BBE"/>
    <w:rsid w:val="008576EE"/>
    <w:rsid w:val="0086042A"/>
    <w:rsid w:val="008813BC"/>
    <w:rsid w:val="008A153F"/>
    <w:rsid w:val="008A78BE"/>
    <w:rsid w:val="008B5590"/>
    <w:rsid w:val="008D3634"/>
    <w:rsid w:val="008D6351"/>
    <w:rsid w:val="008F4A07"/>
    <w:rsid w:val="00951EF6"/>
    <w:rsid w:val="00961003"/>
    <w:rsid w:val="0096638C"/>
    <w:rsid w:val="00971A08"/>
    <w:rsid w:val="00990F06"/>
    <w:rsid w:val="00995343"/>
    <w:rsid w:val="009D45DF"/>
    <w:rsid w:val="009E0F71"/>
    <w:rsid w:val="009E664B"/>
    <w:rsid w:val="009E7A46"/>
    <w:rsid w:val="009F436C"/>
    <w:rsid w:val="00A03153"/>
    <w:rsid w:val="00A103E3"/>
    <w:rsid w:val="00A14904"/>
    <w:rsid w:val="00A15DFC"/>
    <w:rsid w:val="00A46E1B"/>
    <w:rsid w:val="00AB5E22"/>
    <w:rsid w:val="00AE2077"/>
    <w:rsid w:val="00AF1D29"/>
    <w:rsid w:val="00B37A52"/>
    <w:rsid w:val="00B37AA5"/>
    <w:rsid w:val="00B408F8"/>
    <w:rsid w:val="00B41C8D"/>
    <w:rsid w:val="00B5078E"/>
    <w:rsid w:val="00B60EDC"/>
    <w:rsid w:val="00BA7D71"/>
    <w:rsid w:val="00BD2A96"/>
    <w:rsid w:val="00BF682C"/>
    <w:rsid w:val="00BF7644"/>
    <w:rsid w:val="00C2612E"/>
    <w:rsid w:val="00C609B7"/>
    <w:rsid w:val="00CF2E5D"/>
    <w:rsid w:val="00D047BE"/>
    <w:rsid w:val="00D26BFF"/>
    <w:rsid w:val="00D42339"/>
    <w:rsid w:val="00D61AC2"/>
    <w:rsid w:val="00D652D6"/>
    <w:rsid w:val="00DE063A"/>
    <w:rsid w:val="00DE6C93"/>
    <w:rsid w:val="00E01893"/>
    <w:rsid w:val="00E12A51"/>
    <w:rsid w:val="00E600ED"/>
    <w:rsid w:val="00E777AD"/>
    <w:rsid w:val="00E81C0B"/>
    <w:rsid w:val="00EA4B61"/>
    <w:rsid w:val="00EF4EF2"/>
    <w:rsid w:val="00F06BF6"/>
    <w:rsid w:val="00F1759D"/>
    <w:rsid w:val="00F4094A"/>
    <w:rsid w:val="00F40FBF"/>
    <w:rsid w:val="00F47372"/>
    <w:rsid w:val="00F5034C"/>
    <w:rsid w:val="00F67F03"/>
    <w:rsid w:val="00F70D4F"/>
    <w:rsid w:val="00F76E97"/>
    <w:rsid w:val="00F84E07"/>
    <w:rsid w:val="00FD4F58"/>
    <w:rsid w:val="00FF16AA"/>
    <w:rsid w:val="00FF2D42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CE6"/>
    <w:pPr>
      <w:spacing w:after="0" w:line="240" w:lineRule="auto"/>
    </w:pPr>
    <w:rPr>
      <w:rFonts w:ascii="Times New Roman" w:eastAsiaTheme="minorHAnsi" w:hAnsi="Times New Roman"/>
      <w:sz w:val="24"/>
      <w:lang w:val="fr-CA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2014-01-09T18:15:00Z</dcterms:created>
  <dcterms:modified xsi:type="dcterms:W3CDTF">2014-01-28T14:35:00Z</dcterms:modified>
</cp:coreProperties>
</file>