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14BBB" w:rsidP="008262A3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14BBB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62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4BB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CB62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14B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14B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B4287" w:rsidRDefault="003F2ECB">
            <w:pPr>
              <w:pStyle w:val="SCCLsocPrefix"/>
            </w:pPr>
            <w:r>
              <w:t>BETWEEN:</w:t>
            </w:r>
            <w:r>
              <w:br/>
            </w:r>
          </w:p>
          <w:p w:rsidR="00AB4287" w:rsidRDefault="003F2ECB">
            <w:pPr>
              <w:pStyle w:val="SCCLsocParty"/>
            </w:pPr>
            <w:r>
              <w:t>U.A.S.</w:t>
            </w:r>
            <w:r>
              <w:br/>
            </w:r>
          </w:p>
          <w:p w:rsidR="00AB4287" w:rsidRDefault="003F2ECB">
            <w:pPr>
              <w:pStyle w:val="SCCLsocPartyRole"/>
            </w:pPr>
            <w:r>
              <w:t>Applicant</w:t>
            </w:r>
            <w:r>
              <w:br/>
            </w:r>
          </w:p>
          <w:p w:rsidR="00AB4287" w:rsidRDefault="003F2ECB">
            <w:pPr>
              <w:pStyle w:val="SCCLsocVersus"/>
            </w:pPr>
            <w:r>
              <w:t>- and -</w:t>
            </w:r>
            <w:r>
              <w:br/>
            </w:r>
          </w:p>
          <w:p w:rsidR="00AB4287" w:rsidRDefault="003F2ECB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AB4287" w:rsidRDefault="003F2E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4287" w:rsidRPr="00D14BBB" w:rsidRDefault="003F2ECB">
            <w:pPr>
              <w:pStyle w:val="SCCLsocPrefix"/>
              <w:rPr>
                <w:lang w:val="fr-CA"/>
              </w:rPr>
            </w:pPr>
            <w:r w:rsidRPr="00D14BBB">
              <w:rPr>
                <w:lang w:val="fr-CA"/>
              </w:rPr>
              <w:t>ENTRE :</w:t>
            </w:r>
            <w:r w:rsidRPr="00D14BBB">
              <w:rPr>
                <w:lang w:val="fr-CA"/>
              </w:rPr>
              <w:br/>
            </w:r>
          </w:p>
          <w:p w:rsidR="00AB4287" w:rsidRPr="00D14BBB" w:rsidRDefault="003F2ECB">
            <w:pPr>
              <w:pStyle w:val="SCCLsocParty"/>
              <w:rPr>
                <w:lang w:val="fr-CA"/>
              </w:rPr>
            </w:pPr>
            <w:r w:rsidRPr="00D14BBB">
              <w:rPr>
                <w:lang w:val="fr-CA"/>
              </w:rPr>
              <w:t>U.A.S.</w:t>
            </w:r>
            <w:r w:rsidRPr="00D14BBB">
              <w:rPr>
                <w:lang w:val="fr-CA"/>
              </w:rPr>
              <w:br/>
            </w:r>
          </w:p>
          <w:p w:rsidR="00AB4287" w:rsidRPr="00D14BBB" w:rsidRDefault="00D14B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F2ECB" w:rsidRPr="00D14BBB">
              <w:rPr>
                <w:lang w:val="fr-CA"/>
              </w:rPr>
              <w:br/>
            </w:r>
          </w:p>
          <w:p w:rsidR="00AB4287" w:rsidRPr="00D14BBB" w:rsidRDefault="003F2ECB">
            <w:pPr>
              <w:pStyle w:val="SCCLsocVersus"/>
              <w:rPr>
                <w:lang w:val="fr-CA"/>
              </w:rPr>
            </w:pPr>
            <w:r w:rsidRPr="00D14BBB">
              <w:rPr>
                <w:lang w:val="fr-CA"/>
              </w:rPr>
              <w:t>- et -</w:t>
            </w:r>
            <w:r w:rsidRPr="00D14BBB">
              <w:rPr>
                <w:lang w:val="fr-CA"/>
              </w:rPr>
              <w:br/>
            </w:r>
          </w:p>
          <w:p w:rsidR="00AB4287" w:rsidRPr="00D14BBB" w:rsidRDefault="003F2ECB">
            <w:pPr>
              <w:pStyle w:val="SCCLsocParty"/>
              <w:rPr>
                <w:lang w:val="fr-CA"/>
              </w:rPr>
            </w:pPr>
            <w:r w:rsidRPr="00D14BBB">
              <w:rPr>
                <w:lang w:val="fr-CA"/>
              </w:rPr>
              <w:t>Procureur général du Canada au nom des États-Unis d'Amérique</w:t>
            </w:r>
            <w:r w:rsidRPr="00D14BBB">
              <w:rPr>
                <w:lang w:val="fr-CA"/>
              </w:rPr>
              <w:br/>
            </w:r>
          </w:p>
          <w:p w:rsidR="00AB4287" w:rsidRDefault="003F2EC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62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4BBB" w:rsidP="00615947">
            <w:pPr>
              <w:jc w:val="both"/>
            </w:pPr>
            <w:r>
              <w:t xml:space="preserve">The motion for an extension of time to </w:t>
            </w:r>
            <w:r w:rsidR="00615947">
              <w:t xml:space="preserve">serve and file the application </w:t>
            </w:r>
            <w:r>
              <w:t xml:space="preserve">for leave to appeal is granted.  </w:t>
            </w:r>
            <w:r w:rsidR="00615947">
              <w:t xml:space="preserve">The motions to appoint counsel, to obtain funding and to be granted permission to submit evidence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CA040033, 2013 BCCA 483</w:t>
            </w:r>
            <w:r w:rsidR="00824412" w:rsidRPr="006E7BAE">
              <w:t xml:space="preserve">, dated </w:t>
            </w:r>
            <w:r w:rsidR="00824412">
              <w:t>November 12,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14BBB" w:rsidP="0061594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615947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 w:rsidR="00615947">
              <w:rPr>
                <w:lang w:val="fr-CA"/>
              </w:rPr>
              <w:t>lai de signification et de d</w:t>
            </w:r>
            <w:r w:rsidR="00615947">
              <w:rPr>
                <w:rFonts w:cs="Times New Roman"/>
                <w:lang w:val="fr-CA"/>
              </w:rPr>
              <w:t>é</w:t>
            </w:r>
            <w:r w:rsidR="00615947">
              <w:rPr>
                <w:lang w:val="fr-CA"/>
              </w:rPr>
              <w:t>p</w:t>
            </w:r>
            <w:r w:rsidR="00615947">
              <w:rPr>
                <w:rFonts w:cs="Times New Roman"/>
                <w:lang w:val="fr-CA"/>
              </w:rPr>
              <w:t>ô</w:t>
            </w:r>
            <w:r w:rsidR="00615947">
              <w:rPr>
                <w:lang w:val="fr-CA"/>
              </w:rPr>
              <w:t xml:space="preserve">t de la demande d’autorisation d’appel </w:t>
            </w:r>
            <w:r>
              <w:rPr>
                <w:lang w:val="fr-CA"/>
              </w:rPr>
              <w:t xml:space="preserve">est accueillie.  </w:t>
            </w:r>
            <w:r w:rsidR="00615947">
              <w:rPr>
                <w:lang w:val="fr-CA"/>
              </w:rPr>
              <w:t>Les requ</w:t>
            </w:r>
            <w:r w:rsidR="00615947">
              <w:rPr>
                <w:rFonts w:cs="Times New Roman"/>
                <w:lang w:val="fr-CA"/>
              </w:rPr>
              <w:t>ê</w:t>
            </w:r>
            <w:r w:rsidR="00615947">
              <w:rPr>
                <w:lang w:val="fr-CA"/>
              </w:rPr>
              <w:t xml:space="preserve">tes sollicitant la nomination d’un avocat, l’octroi de fonds et la permission de soumettre des </w:t>
            </w:r>
            <w:r w:rsidR="00615947">
              <w:rPr>
                <w:rFonts w:cs="Times New Roman"/>
                <w:lang w:val="fr-CA"/>
              </w:rPr>
              <w:t>é</w:t>
            </w:r>
            <w:r w:rsidR="00615947">
              <w:rPr>
                <w:lang w:val="fr-CA"/>
              </w:rPr>
              <w:t>l</w:t>
            </w:r>
            <w:r w:rsidR="00615947">
              <w:rPr>
                <w:rFonts w:cs="Times New Roman"/>
                <w:lang w:val="fr-CA"/>
              </w:rPr>
              <w:t>é</w:t>
            </w:r>
            <w:r w:rsidR="00615947">
              <w:rPr>
                <w:lang w:val="fr-CA"/>
              </w:rPr>
              <w:t>ments de preuve sont rejet</w:t>
            </w:r>
            <w:r w:rsidR="00615947">
              <w:rPr>
                <w:rFonts w:cs="Times New Roman"/>
                <w:lang w:val="fr-CA"/>
              </w:rPr>
              <w:t>é</w:t>
            </w:r>
            <w:r w:rsidR="00615947">
              <w:rPr>
                <w:lang w:val="fr-CA"/>
              </w:rPr>
              <w:t xml:space="preserve">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4BB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4BBB">
              <w:rPr>
                <w:lang w:val="fr-CA"/>
              </w:rPr>
              <w:t>CA040033, 2013 BCCA 483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4BBB">
              <w:rPr>
                <w:lang w:val="fr-CA"/>
              </w:rPr>
              <w:t>12 novembre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F2EC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F2ECB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12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1235" w:rsidRPr="00417FB7">
      <w:rPr>
        <w:szCs w:val="24"/>
      </w:rPr>
      <w:fldChar w:fldCharType="separate"/>
    </w:r>
    <w:r w:rsidR="00615947">
      <w:rPr>
        <w:noProof/>
        <w:szCs w:val="24"/>
      </w:rPr>
      <w:t>2</w:t>
    </w:r>
    <w:r w:rsidR="009112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EC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5947"/>
    <w:rsid w:val="00650109"/>
    <w:rsid w:val="006E7BAE"/>
    <w:rsid w:val="00701109"/>
    <w:rsid w:val="007372EA"/>
    <w:rsid w:val="0075535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23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28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62AD"/>
    <w:rsid w:val="00CE249F"/>
    <w:rsid w:val="00CF17D0"/>
    <w:rsid w:val="00D14BB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2014-06-12T14:40:00Z</dcterms:created>
  <dcterms:modified xsi:type="dcterms:W3CDTF">2014-06-24T16:05:00Z</dcterms:modified>
</cp:coreProperties>
</file>