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35796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B50918" w:rsidP="00B50918">
            <w:r>
              <w:t>June</w:t>
            </w:r>
            <w:r w:rsidR="00EF707C">
              <w:t xml:space="preserve"> </w:t>
            </w:r>
            <w:r>
              <w:t>26</w:t>
            </w:r>
            <w:r w:rsidR="00EF707C">
              <w:t>, 2014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F707C" w:rsidP="00B50918">
            <w:pPr>
              <w:rPr>
                <w:lang w:val="en-US"/>
              </w:rPr>
            </w:pPr>
            <w:r>
              <w:t xml:space="preserve">Le </w:t>
            </w:r>
            <w:r w:rsidR="00B50918">
              <w:t>26</w:t>
            </w:r>
            <w:r>
              <w:t xml:space="preserve"> </w:t>
            </w:r>
            <w:proofErr w:type="spellStart"/>
            <w:r w:rsidR="00626F79">
              <w:t>juin</w:t>
            </w:r>
            <w:proofErr w:type="spellEnd"/>
            <w:r>
              <w:t xml:space="preserve"> 2014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801628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Abella, Rothstein and Moldaver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626F79">
              <w:rPr>
                <w:lang w:val="fr-CA"/>
              </w:rPr>
              <w:t>Les juges Abella, Rothstein et Moldaver</w:t>
            </w:r>
          </w:p>
        </w:tc>
      </w:tr>
      <w:tr w:rsidR="00C2612E" w:rsidRPr="00801628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26F79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626F79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26F79" w:rsidTr="00C173B0">
        <w:tc>
          <w:tcPr>
            <w:tcW w:w="2269" w:type="pct"/>
          </w:tcPr>
          <w:p w:rsidR="008A5070" w:rsidRDefault="00B111BD">
            <w:pPr>
              <w:pStyle w:val="SCCLsocPrefix"/>
            </w:pPr>
            <w:r>
              <w:t>BETWEEN:</w:t>
            </w:r>
            <w:r>
              <w:br/>
            </w:r>
          </w:p>
          <w:p w:rsidR="008A5070" w:rsidRDefault="00626F79">
            <w:pPr>
              <w:pStyle w:val="SCCLsocParty"/>
            </w:pPr>
            <w:r>
              <w:t xml:space="preserve">6470360 Canada Inc. </w:t>
            </w:r>
            <w:proofErr w:type="spellStart"/>
            <w:r w:rsidR="00B111BD">
              <w:t>c.o.b</w:t>
            </w:r>
            <w:proofErr w:type="spellEnd"/>
            <w:r w:rsidR="00B111BD">
              <w:t>. Energyshop Consulting Inc./Powerhouse Energy Management Inc.</w:t>
            </w:r>
            <w:r>
              <w:t xml:space="preserve"> and</w:t>
            </w:r>
            <w:r w:rsidR="00B111BD">
              <w:t xml:space="preserve"> Michael Wayne Beamish</w:t>
            </w:r>
            <w:r w:rsidR="00B111BD">
              <w:br/>
            </w:r>
          </w:p>
          <w:p w:rsidR="008A5070" w:rsidRDefault="00B111BD">
            <w:pPr>
              <w:pStyle w:val="SCCLsocPartyRole"/>
            </w:pPr>
            <w:r>
              <w:t>Applicants</w:t>
            </w:r>
            <w:r>
              <w:br/>
            </w:r>
          </w:p>
          <w:p w:rsidR="008A5070" w:rsidRDefault="00B111BD">
            <w:pPr>
              <w:pStyle w:val="SCCLsocVersus"/>
            </w:pPr>
            <w:r>
              <w:t>- and -</w:t>
            </w:r>
            <w:r>
              <w:br/>
            </w:r>
          </w:p>
          <w:p w:rsidR="008A5070" w:rsidRDefault="00B111BD">
            <w:pPr>
              <w:pStyle w:val="SCCLsocParty"/>
            </w:pPr>
            <w:r>
              <w:t>Shoppers Drug Mart Inc.</w:t>
            </w:r>
            <w:r>
              <w:br/>
            </w:r>
          </w:p>
          <w:p w:rsidR="008A5070" w:rsidRDefault="00B111BD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8A5070" w:rsidRPr="00801628" w:rsidRDefault="00B111BD">
            <w:pPr>
              <w:pStyle w:val="SCCLsocPrefix"/>
              <w:rPr>
                <w:lang w:val="en-US"/>
              </w:rPr>
            </w:pPr>
            <w:r w:rsidRPr="00801628">
              <w:rPr>
                <w:lang w:val="en-US"/>
              </w:rPr>
              <w:t>ENTRE :</w:t>
            </w:r>
            <w:r w:rsidRPr="00801628">
              <w:rPr>
                <w:lang w:val="en-US"/>
              </w:rPr>
              <w:br/>
            </w:r>
          </w:p>
          <w:p w:rsidR="008A5070" w:rsidRPr="00801628" w:rsidRDefault="00626F79">
            <w:pPr>
              <w:pStyle w:val="SCCLsocParty"/>
              <w:rPr>
                <w:lang w:val="en-US"/>
              </w:rPr>
            </w:pPr>
            <w:r w:rsidRPr="00801628">
              <w:rPr>
                <w:lang w:val="en-US"/>
              </w:rPr>
              <w:t xml:space="preserve">6470360 Canada Inc. </w:t>
            </w:r>
            <w:proofErr w:type="spellStart"/>
            <w:r w:rsidR="00B111BD" w:rsidRPr="00801628">
              <w:rPr>
                <w:lang w:val="en-US"/>
              </w:rPr>
              <w:t>faisant</w:t>
            </w:r>
            <w:proofErr w:type="spellEnd"/>
            <w:r w:rsidR="00B111BD" w:rsidRPr="00801628">
              <w:rPr>
                <w:lang w:val="en-US"/>
              </w:rPr>
              <w:t xml:space="preserve"> affaire </w:t>
            </w:r>
            <w:proofErr w:type="spellStart"/>
            <w:r w:rsidR="00B111BD" w:rsidRPr="00801628">
              <w:rPr>
                <w:lang w:val="en-US"/>
              </w:rPr>
              <w:t>sous</w:t>
            </w:r>
            <w:proofErr w:type="spellEnd"/>
            <w:r w:rsidR="00B111BD" w:rsidRPr="00801628">
              <w:rPr>
                <w:lang w:val="en-US"/>
              </w:rPr>
              <w:t xml:space="preserve"> la raison </w:t>
            </w:r>
            <w:proofErr w:type="spellStart"/>
            <w:r w:rsidR="00B111BD" w:rsidRPr="00801628">
              <w:rPr>
                <w:lang w:val="en-US"/>
              </w:rPr>
              <w:t>sociale</w:t>
            </w:r>
            <w:proofErr w:type="spellEnd"/>
            <w:r w:rsidR="00B111BD" w:rsidRPr="00801628">
              <w:rPr>
                <w:lang w:val="en-US"/>
              </w:rPr>
              <w:t xml:space="preserve"> </w:t>
            </w:r>
            <w:proofErr w:type="spellStart"/>
            <w:r w:rsidR="00B111BD" w:rsidRPr="00801628">
              <w:rPr>
                <w:lang w:val="en-US"/>
              </w:rPr>
              <w:t>Energyshop</w:t>
            </w:r>
            <w:proofErr w:type="spellEnd"/>
            <w:r w:rsidR="00B111BD" w:rsidRPr="00801628">
              <w:rPr>
                <w:lang w:val="en-US"/>
              </w:rPr>
              <w:t xml:space="preserve"> Consulting Inc./Po</w:t>
            </w:r>
            <w:r w:rsidRPr="00801628">
              <w:rPr>
                <w:lang w:val="en-US"/>
              </w:rPr>
              <w:t>werhouse Energy Management Inc. et</w:t>
            </w:r>
            <w:r w:rsidR="00B111BD" w:rsidRPr="00801628">
              <w:rPr>
                <w:lang w:val="en-US"/>
              </w:rPr>
              <w:t xml:space="preserve"> Michael Wayne Beamish</w:t>
            </w:r>
            <w:r w:rsidR="00B111BD" w:rsidRPr="00801628">
              <w:rPr>
                <w:lang w:val="en-US"/>
              </w:rPr>
              <w:br/>
            </w:r>
          </w:p>
          <w:p w:rsidR="008A5070" w:rsidRPr="00801628" w:rsidRDefault="00B111BD">
            <w:pPr>
              <w:pStyle w:val="SCCLsocPartyRole"/>
              <w:rPr>
                <w:lang w:val="en-US"/>
              </w:rPr>
            </w:pPr>
            <w:proofErr w:type="spellStart"/>
            <w:r w:rsidRPr="00801628">
              <w:rPr>
                <w:lang w:val="en-US"/>
              </w:rPr>
              <w:t>Demandeurs</w:t>
            </w:r>
            <w:proofErr w:type="spellEnd"/>
            <w:r w:rsidRPr="00801628">
              <w:rPr>
                <w:lang w:val="en-US"/>
              </w:rPr>
              <w:br/>
            </w:r>
          </w:p>
          <w:p w:rsidR="008A5070" w:rsidRPr="00801628" w:rsidRDefault="00B111BD">
            <w:pPr>
              <w:pStyle w:val="SCCLsocVersus"/>
              <w:rPr>
                <w:lang w:val="en-US"/>
              </w:rPr>
            </w:pPr>
            <w:r w:rsidRPr="00801628">
              <w:rPr>
                <w:lang w:val="en-US"/>
              </w:rPr>
              <w:t>- et -</w:t>
            </w:r>
            <w:r w:rsidRPr="00801628">
              <w:rPr>
                <w:lang w:val="en-US"/>
              </w:rPr>
              <w:br/>
            </w:r>
          </w:p>
          <w:p w:rsidR="008A5070" w:rsidRPr="00801628" w:rsidRDefault="00B111BD">
            <w:pPr>
              <w:pStyle w:val="SCCLsocParty"/>
              <w:rPr>
                <w:lang w:val="en-US"/>
              </w:rPr>
            </w:pPr>
            <w:r w:rsidRPr="00801628">
              <w:rPr>
                <w:lang w:val="en-US"/>
              </w:rPr>
              <w:t>Shoppers Drug Mart Inc.</w:t>
            </w:r>
            <w:r w:rsidRPr="00801628">
              <w:rPr>
                <w:lang w:val="en-US"/>
              </w:rPr>
              <w:br/>
            </w:r>
          </w:p>
          <w:p w:rsidR="008A5070" w:rsidRPr="00626F79" w:rsidRDefault="00626F79" w:rsidP="00626F79">
            <w:pPr>
              <w:pStyle w:val="SCCLsocPartyRole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Intimé</w:t>
            </w:r>
            <w:r w:rsidR="00B111BD" w:rsidRPr="00626F79">
              <w:rPr>
                <w:lang w:val="en-US"/>
              </w:rPr>
              <w:t>e</w:t>
            </w:r>
            <w:proofErr w:type="spellEnd"/>
          </w:p>
        </w:tc>
      </w:tr>
      <w:tr w:rsidR="00824412" w:rsidRPr="00626F79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26F79" w:rsidRDefault="00824412" w:rsidP="00375294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26F79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626F79" w:rsidRDefault="00824412" w:rsidP="00B408F8">
            <w:pPr>
              <w:rPr>
                <w:lang w:val="en-US"/>
              </w:rPr>
            </w:pPr>
          </w:p>
        </w:tc>
      </w:tr>
      <w:tr w:rsidR="00824412" w:rsidRPr="00801628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690759" w:rsidP="001E4E04">
            <w:pPr>
              <w:jc w:val="both"/>
            </w:pPr>
            <w:r>
              <w:t xml:space="preserve">The motion for a stay of execution is dismissed without costs. </w:t>
            </w:r>
            <w:r w:rsidR="00824412" w:rsidRPr="006E7BAE">
              <w:t>The app</w:t>
            </w:r>
            <w:r w:rsidR="00011960" w:rsidRPr="006E7BAE">
              <w:t>lication for</w:t>
            </w:r>
            <w:r w:rsidR="00B111BD">
              <w:t xml:space="preserve"> </w:t>
            </w:r>
            <w:r w:rsidR="00011960" w:rsidRPr="006E7BAE">
              <w:t>leave to appeal from the judgment of the</w:t>
            </w:r>
            <w:bookmarkStart w:id="0" w:name="BM_1_"/>
            <w:bookmarkEnd w:id="0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824412">
              <w:t>C56117, 2014 ONCA 85</w:t>
            </w:r>
            <w:r w:rsidR="00824412" w:rsidRPr="006E7BAE">
              <w:t xml:space="preserve">, dated </w:t>
            </w:r>
            <w:r w:rsidR="00824412">
              <w:t>January 31, 2014</w:t>
            </w:r>
            <w:r w:rsidR="00B111BD">
              <w:t>,</w:t>
            </w:r>
            <w:r w:rsidR="00824412" w:rsidRPr="006E7BAE">
              <w:t xml:space="preserve"> </w:t>
            </w:r>
            <w:r>
              <w:t>is</w:t>
            </w:r>
            <w:r w:rsidR="00824412" w:rsidRPr="006E7BAE">
              <w:t xml:space="preserve"> </w:t>
            </w:r>
            <w:r w:rsidR="00B111BD">
              <w:t>dismissed with costs</w:t>
            </w:r>
            <w:r w:rsidR="00824412"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690759" w:rsidP="001E4E04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La requête en sursis d’exécution est rejetée sans dépens.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</w:t>
            </w:r>
            <w:r w:rsidR="00B111BD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626F79">
              <w:rPr>
                <w:lang w:val="fr-CA"/>
              </w:rPr>
              <w:t>Cour d’appel de l’Ontario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626F79">
              <w:rPr>
                <w:lang w:val="fr-CA"/>
              </w:rPr>
              <w:t>C56117, 2014 ONCA 85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626F79">
              <w:rPr>
                <w:lang w:val="fr-CA"/>
              </w:rPr>
              <w:t>31 janvier 2014</w:t>
            </w:r>
            <w:r w:rsidR="00824412" w:rsidRPr="006E7BAE">
              <w:rPr>
                <w:lang w:val="fr-CA"/>
              </w:rPr>
              <w:t xml:space="preserve">, est </w:t>
            </w:r>
            <w:r w:rsidR="00B111BD">
              <w:rPr>
                <w:lang w:val="fr-CA"/>
              </w:rPr>
              <w:t>rejetée avec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8F53F3" w:rsidRPr="00A252FA" w:rsidRDefault="003A37CF" w:rsidP="001E4E04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8F53F3" w:rsidRPr="00A252FA" w:rsidSect="00B111BD">
      <w:headerReference w:type="default" r:id="rId6"/>
      <w:pgSz w:w="12240" w:h="15840"/>
      <w:pgMar w:top="1440" w:right="1440" w:bottom="36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50F74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50F74" w:rsidRPr="00417FB7">
      <w:rPr>
        <w:szCs w:val="24"/>
      </w:rPr>
      <w:fldChar w:fldCharType="separate"/>
    </w:r>
    <w:r w:rsidR="001E4E04">
      <w:rPr>
        <w:noProof/>
        <w:szCs w:val="24"/>
      </w:rPr>
      <w:t>2</w:t>
    </w:r>
    <w:r w:rsidR="00E50F74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35796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2F52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1E4E04"/>
    <w:rsid w:val="001F4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44124"/>
    <w:rsid w:val="0055345D"/>
    <w:rsid w:val="00563E2C"/>
    <w:rsid w:val="00587869"/>
    <w:rsid w:val="00612913"/>
    <w:rsid w:val="00614908"/>
    <w:rsid w:val="00626F79"/>
    <w:rsid w:val="00650109"/>
    <w:rsid w:val="0069075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1628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A5070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11BD"/>
    <w:rsid w:val="00B158E3"/>
    <w:rsid w:val="00B408F8"/>
    <w:rsid w:val="00B5078E"/>
    <w:rsid w:val="00B50918"/>
    <w:rsid w:val="00B60EDC"/>
    <w:rsid w:val="00BC39BE"/>
    <w:rsid w:val="00BD4E4C"/>
    <w:rsid w:val="00BF7644"/>
    <w:rsid w:val="00C1285B"/>
    <w:rsid w:val="00C173B0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50F74"/>
    <w:rsid w:val="00E736B9"/>
    <w:rsid w:val="00E777AD"/>
    <w:rsid w:val="00EA4B61"/>
    <w:rsid w:val="00EC3848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2014-05-27T17:55:00Z</dcterms:created>
  <dcterms:modified xsi:type="dcterms:W3CDTF">2014-06-24T14:18:00Z</dcterms:modified>
</cp:coreProperties>
</file>