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96474" w:rsidP="008262A3">
            <w:r>
              <w:t>January 15</w:t>
            </w:r>
            <w:r w:rsidR="00EF707C">
              <w:t>, 201</w:t>
            </w:r>
            <w:r w:rsidR="00B24CF9"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96474" w:rsidP="00B96474">
            <w:pPr>
              <w:rPr>
                <w:lang w:val="en-US"/>
              </w:rPr>
            </w:pPr>
            <w:r>
              <w:t>Le 15</w:t>
            </w:r>
            <w:r w:rsidR="00EF707C">
              <w:t xml:space="preserve">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 w:rsidR="00B24CF9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434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6474">
              <w:rPr>
                <w:lang w:val="fr-CA"/>
              </w:rPr>
              <w:t>Les juges Rothstein, Cromwell et Moldaver</w:t>
            </w:r>
          </w:p>
        </w:tc>
      </w:tr>
      <w:tr w:rsidR="00C2612E" w:rsidRPr="001343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64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964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4346" w:rsidTr="00C173B0">
        <w:tc>
          <w:tcPr>
            <w:tcW w:w="2269" w:type="pct"/>
          </w:tcPr>
          <w:p w:rsidR="00BD6DBA" w:rsidRDefault="00530F40">
            <w:pPr>
              <w:pStyle w:val="SCCLsocPrefix"/>
            </w:pPr>
            <w:r>
              <w:t>BETWEEN:</w:t>
            </w:r>
            <w:r>
              <w:br/>
            </w:r>
          </w:p>
          <w:p w:rsidR="00BD6DBA" w:rsidRDefault="00530F40">
            <w:pPr>
              <w:pStyle w:val="SCCLsocParty"/>
            </w:pPr>
            <w:r>
              <w:t>Ali Karimi</w:t>
            </w:r>
            <w:r>
              <w:br/>
            </w:r>
          </w:p>
          <w:p w:rsidR="00BD6DBA" w:rsidRDefault="00530F40">
            <w:pPr>
              <w:pStyle w:val="SCCLsocPartyRole"/>
            </w:pPr>
            <w:r>
              <w:t>Applicant</w:t>
            </w:r>
            <w:r>
              <w:br/>
            </w:r>
          </w:p>
          <w:p w:rsidR="00BD6DBA" w:rsidRDefault="00530F40">
            <w:pPr>
              <w:pStyle w:val="SCCLsocVersus"/>
            </w:pPr>
            <w:r>
              <w:t>- and -</w:t>
            </w:r>
            <w:r>
              <w:br/>
            </w:r>
          </w:p>
          <w:p w:rsidR="00BD6DBA" w:rsidRDefault="00530F40">
            <w:pPr>
              <w:pStyle w:val="SCCLsocParty"/>
            </w:pPr>
            <w:r>
              <w:t>Her Majesty the Queen</w:t>
            </w:r>
            <w:r>
              <w:br/>
            </w:r>
          </w:p>
          <w:p w:rsidR="00BD6DBA" w:rsidRDefault="00530F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D6DBA" w:rsidRPr="00B96474" w:rsidRDefault="00530F40">
            <w:pPr>
              <w:pStyle w:val="SCCLsocPrefix"/>
              <w:rPr>
                <w:lang w:val="fr-CA"/>
              </w:rPr>
            </w:pPr>
            <w:r w:rsidRPr="00B96474">
              <w:rPr>
                <w:lang w:val="fr-CA"/>
              </w:rPr>
              <w:t>ENTRE :</w:t>
            </w:r>
            <w:r w:rsidRPr="00B96474">
              <w:rPr>
                <w:lang w:val="fr-CA"/>
              </w:rPr>
              <w:br/>
            </w:r>
          </w:p>
          <w:p w:rsidR="00BD6DBA" w:rsidRPr="00B96474" w:rsidRDefault="00530F40">
            <w:pPr>
              <w:pStyle w:val="SCCLsocParty"/>
              <w:rPr>
                <w:lang w:val="fr-CA"/>
              </w:rPr>
            </w:pPr>
            <w:r w:rsidRPr="00B96474">
              <w:rPr>
                <w:lang w:val="fr-CA"/>
              </w:rPr>
              <w:t xml:space="preserve">Ali </w:t>
            </w:r>
            <w:proofErr w:type="spellStart"/>
            <w:r w:rsidRPr="00B96474">
              <w:rPr>
                <w:lang w:val="fr-CA"/>
              </w:rPr>
              <w:t>Karimi</w:t>
            </w:r>
            <w:proofErr w:type="spellEnd"/>
            <w:r w:rsidRPr="00B96474">
              <w:rPr>
                <w:lang w:val="fr-CA"/>
              </w:rPr>
              <w:br/>
            </w:r>
          </w:p>
          <w:p w:rsidR="00BD6DBA" w:rsidRPr="00B96474" w:rsidRDefault="006A28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30F40" w:rsidRPr="00B96474">
              <w:rPr>
                <w:lang w:val="fr-CA"/>
              </w:rPr>
              <w:br/>
            </w:r>
          </w:p>
          <w:p w:rsidR="00BD6DBA" w:rsidRPr="00B96474" w:rsidRDefault="00530F40">
            <w:pPr>
              <w:pStyle w:val="SCCLsocVersus"/>
              <w:rPr>
                <w:lang w:val="fr-CA"/>
              </w:rPr>
            </w:pPr>
            <w:r w:rsidRPr="00B96474">
              <w:rPr>
                <w:lang w:val="fr-CA"/>
              </w:rPr>
              <w:t>- et -</w:t>
            </w:r>
            <w:r w:rsidRPr="00B96474">
              <w:rPr>
                <w:lang w:val="fr-CA"/>
              </w:rPr>
              <w:br/>
            </w:r>
          </w:p>
          <w:p w:rsidR="00BD6DBA" w:rsidRPr="00B96474" w:rsidRDefault="00530F40">
            <w:pPr>
              <w:pStyle w:val="SCCLsocParty"/>
              <w:rPr>
                <w:lang w:val="fr-CA"/>
              </w:rPr>
            </w:pPr>
            <w:r w:rsidRPr="00B96474">
              <w:rPr>
                <w:lang w:val="fr-CA"/>
              </w:rPr>
              <w:t>Sa Majesté la Reine</w:t>
            </w:r>
            <w:r w:rsidRPr="00B96474">
              <w:rPr>
                <w:lang w:val="fr-CA"/>
              </w:rPr>
              <w:br/>
            </w:r>
          </w:p>
          <w:p w:rsidR="00BD6DBA" w:rsidRPr="00B24CF9" w:rsidRDefault="006A28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30F40" w:rsidRPr="00B24CF9">
              <w:rPr>
                <w:lang w:val="fr-CA"/>
              </w:rPr>
              <w:t>e</w:t>
            </w:r>
          </w:p>
        </w:tc>
      </w:tr>
      <w:tr w:rsidR="00824412" w:rsidRPr="001343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24C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24C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24CF9" w:rsidRDefault="00824412" w:rsidP="00B408F8">
            <w:pPr>
              <w:rPr>
                <w:lang w:val="fr-CA"/>
              </w:rPr>
            </w:pPr>
          </w:p>
        </w:tc>
      </w:tr>
      <w:tr w:rsidR="00824412" w:rsidRPr="0013434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A280E" w:rsidP="006A280E">
            <w:pPr>
              <w:jc w:val="both"/>
            </w:pPr>
            <w:r>
              <w:t>The motion for an extension of time to serve and file the application fo</w:t>
            </w:r>
            <w:r w:rsidR="00134346">
              <w:t>r leave to appeal from the judg</w:t>
            </w:r>
            <w:r>
              <w:t>ment of Court of Appeal for Ontario, M43100, 2014 ONCA 133, dated February 14, 2014</w:t>
            </w:r>
            <w:r w:rsidR="00134346">
              <w:t>,</w:t>
            </w:r>
            <w:r>
              <w:t xml:space="preserve"> 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C54078</w:t>
            </w:r>
            <w:r>
              <w:t>, 2014 ONCA 320</w:t>
            </w:r>
            <w:r w:rsidR="00824412" w:rsidRPr="006E7BAE">
              <w:t xml:space="preserve">, dated </w:t>
            </w:r>
            <w:r>
              <w:t>April 28</w:t>
            </w:r>
            <w:r w:rsidR="00824412">
              <w:t>, 2014</w:t>
            </w:r>
            <w:r w:rsidR="00134346">
              <w:t>,</w:t>
            </w:r>
            <w:r w:rsidR="00824412" w:rsidRPr="006E7BAE">
              <w:t xml:space="preserve"> is </w:t>
            </w:r>
            <w:r w:rsidR="00B96474">
              <w:rPr>
                <w:lang w:val="en-GB"/>
              </w:rPr>
              <w:t>dismissed without costs</w:t>
            </w:r>
            <w:r w:rsidR="00B96474" w:rsidRPr="000C33B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28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A280E">
              <w:rPr>
                <w:lang w:val="fr-CA"/>
              </w:rPr>
              <w:t xml:space="preserve">requête en prorogation du délai de signification et </w:t>
            </w:r>
            <w:r w:rsidR="00134346">
              <w:rPr>
                <w:lang w:val="fr-CA"/>
              </w:rPr>
              <w:t xml:space="preserve">de </w:t>
            </w:r>
            <w:r w:rsidR="006A280E">
              <w:rPr>
                <w:lang w:val="fr-CA"/>
              </w:rPr>
              <w:t xml:space="preserve">dépôt de la demande d’autorisation d’appel de l’arrêt de la Cour d’appel de l’Ontario, M43100, 2014 ONCA 133, daté du 14 février 2014, est rejetée sans dépens.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647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96474">
              <w:rPr>
                <w:lang w:val="fr-CA"/>
              </w:rPr>
              <w:t>C54078</w:t>
            </w:r>
            <w:r w:rsidR="006A280E">
              <w:rPr>
                <w:lang w:val="fr-CA"/>
              </w:rPr>
              <w:t>, 2014 ONCA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A280E">
              <w:rPr>
                <w:lang w:val="fr-CA"/>
              </w:rPr>
              <w:t>28</w:t>
            </w:r>
            <w:r w:rsidRPr="00B96474">
              <w:rPr>
                <w:lang w:val="fr-CA"/>
              </w:rPr>
              <w:t> </w:t>
            </w:r>
            <w:r w:rsidR="006A280E">
              <w:rPr>
                <w:lang w:val="fr-CA"/>
              </w:rPr>
              <w:t>avril</w:t>
            </w:r>
            <w:r w:rsidRPr="00B96474">
              <w:rPr>
                <w:lang w:val="fr-CA"/>
              </w:rPr>
              <w:t> 2014</w:t>
            </w:r>
            <w:r w:rsidRPr="006E7BAE">
              <w:rPr>
                <w:lang w:val="fr-CA"/>
              </w:rPr>
              <w:t>, est</w:t>
            </w:r>
            <w:r w:rsidR="00B96474" w:rsidRPr="006E7BAE">
              <w:rPr>
                <w:lang w:val="fr-CA"/>
              </w:rPr>
              <w:t xml:space="preserve"> </w:t>
            </w:r>
            <w:r w:rsidR="00B96474">
              <w:rPr>
                <w:lang w:val="fr-CA"/>
              </w:rPr>
              <w:t>rejetée sans dépens</w:t>
            </w:r>
            <w:r w:rsidR="00B96474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A280E" w:rsidRDefault="006A280E" w:rsidP="00B24CF9">
      <w:pPr>
        <w:jc w:val="center"/>
        <w:rPr>
          <w:lang w:val="fr-CA"/>
        </w:rPr>
      </w:pPr>
    </w:p>
    <w:p w:rsidR="00B24CF9" w:rsidRPr="00A252FA" w:rsidRDefault="00B24CF9" w:rsidP="00B24CF9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B24CF9" w:rsidP="006A280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3A37CF" w:rsidRPr="00D83B8C" w:rsidSect="006A280E">
      <w:headerReference w:type="default" r:id="rId6"/>
      <w:pgSz w:w="12240" w:h="15840"/>
      <w:pgMar w:top="1440" w:right="1440" w:bottom="57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0E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0EF9" w:rsidRPr="00417FB7">
      <w:rPr>
        <w:szCs w:val="24"/>
      </w:rPr>
      <w:fldChar w:fldCharType="separate"/>
    </w:r>
    <w:r w:rsidR="006A280E">
      <w:rPr>
        <w:noProof/>
        <w:szCs w:val="24"/>
      </w:rPr>
      <w:t>2</w:t>
    </w:r>
    <w:r w:rsidR="00260E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4346"/>
    <w:rsid w:val="0016666F"/>
    <w:rsid w:val="00167C15"/>
    <w:rsid w:val="001751E9"/>
    <w:rsid w:val="001B3EC0"/>
    <w:rsid w:val="001D0116"/>
    <w:rsid w:val="001D4323"/>
    <w:rsid w:val="001E1079"/>
    <w:rsid w:val="00203642"/>
    <w:rsid w:val="00212BA0"/>
    <w:rsid w:val="002523DE"/>
    <w:rsid w:val="002568D3"/>
    <w:rsid w:val="00260EF9"/>
    <w:rsid w:val="0027284C"/>
    <w:rsid w:val="002B5FA6"/>
    <w:rsid w:val="002C6423"/>
    <w:rsid w:val="002D2D44"/>
    <w:rsid w:val="002F14D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F40"/>
    <w:rsid w:val="0055345D"/>
    <w:rsid w:val="00563E2C"/>
    <w:rsid w:val="00587869"/>
    <w:rsid w:val="005F426D"/>
    <w:rsid w:val="00612913"/>
    <w:rsid w:val="00614908"/>
    <w:rsid w:val="00650109"/>
    <w:rsid w:val="006A280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4CF9"/>
    <w:rsid w:val="00B408F8"/>
    <w:rsid w:val="00B5078E"/>
    <w:rsid w:val="00B60EDC"/>
    <w:rsid w:val="00B96474"/>
    <w:rsid w:val="00BC39BE"/>
    <w:rsid w:val="00BD4E4C"/>
    <w:rsid w:val="00BD6DBA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945</Characters>
  <Application>Microsoft Office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2015-01-14T15:51:00Z</dcterms:created>
  <dcterms:modified xsi:type="dcterms:W3CDTF">2015-01-14T15:51:00Z</dcterms:modified>
</cp:coreProperties>
</file>