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6C" w:rsidRDefault="009F436C" w:rsidP="00382FEC"/>
    <w:p w:rsidR="002D2D44" w:rsidRPr="006E7BAE" w:rsidRDefault="002D2D44" w:rsidP="00382FEC"/>
    <w:p w:rsidR="009F436C" w:rsidRPr="006E7BAE" w:rsidRDefault="009F436C" w:rsidP="00382FEC"/>
    <w:p w:rsidR="0016666F" w:rsidRPr="006E7BAE" w:rsidRDefault="0016666F" w:rsidP="00382FEC"/>
    <w:p w:rsidR="0016666F" w:rsidRDefault="0016666F" w:rsidP="00382FEC"/>
    <w:p w:rsidR="00D83B8C" w:rsidRDefault="00D83B8C" w:rsidP="00382FEC"/>
    <w:p w:rsidR="00D83B8C" w:rsidRPr="006E7BAE" w:rsidRDefault="00D83B8C" w:rsidP="00382FEC"/>
    <w:p w:rsidR="009F436C" w:rsidRPr="006E7BAE" w:rsidRDefault="009F436C" w:rsidP="00382FEC"/>
    <w:p w:rsidR="009F436C" w:rsidRPr="00D81AD4" w:rsidRDefault="003A37CF" w:rsidP="00AE2077">
      <w:pPr>
        <w:jc w:val="right"/>
      </w:pPr>
      <w:r w:rsidRPr="00D81AD4">
        <w:t>No. 36056</w:t>
      </w:r>
      <w:r w:rsidR="0016666F" w:rsidRPr="00D81AD4">
        <w:t>     </w:t>
      </w:r>
    </w:p>
    <w:p w:rsidR="009F436C" w:rsidRPr="00D81AD4" w:rsidRDefault="009F436C" w:rsidP="00382FEC"/>
    <w:p w:rsidR="002568D3" w:rsidRPr="00D81AD4" w:rsidRDefault="002568D3" w:rsidP="00382FEC"/>
    <w:tbl>
      <w:tblPr>
        <w:tblW w:w="4969" w:type="pct"/>
        <w:tblLayout w:type="fixed"/>
        <w:tblCellMar>
          <w:top w:w="58" w:type="dxa"/>
          <w:left w:w="58" w:type="dxa"/>
          <w:bottom w:w="58" w:type="dxa"/>
          <w:right w:w="58" w:type="dxa"/>
        </w:tblCellMar>
        <w:tblLook w:val="0000"/>
      </w:tblPr>
      <w:tblGrid>
        <w:gridCol w:w="4298"/>
        <w:gridCol w:w="723"/>
        <w:gridCol w:w="4396"/>
      </w:tblGrid>
      <w:tr w:rsidR="00417FB7" w:rsidRPr="00D81AD4" w:rsidTr="000E327E">
        <w:tc>
          <w:tcPr>
            <w:tcW w:w="2282" w:type="pct"/>
          </w:tcPr>
          <w:p w:rsidR="00417FB7" w:rsidRPr="00D81AD4" w:rsidRDefault="00521A98" w:rsidP="00521A98">
            <w:r w:rsidRPr="00D81AD4">
              <w:t>January</w:t>
            </w:r>
            <w:r w:rsidR="00EF707C" w:rsidRPr="00D81AD4">
              <w:t xml:space="preserve"> </w:t>
            </w:r>
            <w:r w:rsidRPr="00D81AD4">
              <w:t>15</w:t>
            </w:r>
            <w:r w:rsidR="00EF707C" w:rsidRPr="00D81AD4">
              <w:t>, 201</w:t>
            </w:r>
            <w:r w:rsidRPr="00D81AD4">
              <w:t>5</w:t>
            </w:r>
          </w:p>
        </w:tc>
        <w:tc>
          <w:tcPr>
            <w:tcW w:w="384" w:type="pct"/>
          </w:tcPr>
          <w:p w:rsidR="00417FB7" w:rsidRPr="00D81AD4" w:rsidRDefault="00417FB7" w:rsidP="00382FEC"/>
        </w:tc>
        <w:tc>
          <w:tcPr>
            <w:tcW w:w="2334" w:type="pct"/>
          </w:tcPr>
          <w:p w:rsidR="00417FB7" w:rsidRPr="00D81AD4" w:rsidRDefault="00EF707C" w:rsidP="00521A98">
            <w:pPr>
              <w:rPr>
                <w:lang w:val="en-US"/>
              </w:rPr>
            </w:pPr>
            <w:r w:rsidRPr="00D81AD4">
              <w:t>Le 1</w:t>
            </w:r>
            <w:r w:rsidR="00521A98" w:rsidRPr="00D81AD4">
              <w:t>5</w:t>
            </w:r>
            <w:r w:rsidRPr="00D81AD4">
              <w:t xml:space="preserve"> </w:t>
            </w:r>
            <w:r w:rsidR="00521A98" w:rsidRPr="00D81AD4">
              <w:rPr>
                <w:lang w:val="fr-CA"/>
              </w:rPr>
              <w:t>janvier</w:t>
            </w:r>
            <w:r w:rsidRPr="00D81AD4">
              <w:t xml:space="preserve"> 201</w:t>
            </w:r>
            <w:r w:rsidR="00521A98" w:rsidRPr="00D81AD4">
              <w:t>5</w:t>
            </w:r>
          </w:p>
        </w:tc>
      </w:tr>
      <w:tr w:rsidR="00E12A51" w:rsidRPr="00D81AD4" w:rsidTr="000E327E">
        <w:tc>
          <w:tcPr>
            <w:tcW w:w="2282" w:type="pct"/>
            <w:tcMar>
              <w:top w:w="0" w:type="dxa"/>
              <w:bottom w:w="0" w:type="dxa"/>
            </w:tcMar>
          </w:tcPr>
          <w:p w:rsidR="00C2612E" w:rsidRPr="00D81AD4" w:rsidRDefault="00C2612E" w:rsidP="008262A3"/>
        </w:tc>
        <w:tc>
          <w:tcPr>
            <w:tcW w:w="384" w:type="pct"/>
            <w:tcMar>
              <w:top w:w="0" w:type="dxa"/>
              <w:bottom w:w="0" w:type="dxa"/>
            </w:tcMar>
          </w:tcPr>
          <w:p w:rsidR="00E12A51" w:rsidRPr="00D81AD4" w:rsidRDefault="00E12A51" w:rsidP="00382FEC"/>
        </w:tc>
        <w:tc>
          <w:tcPr>
            <w:tcW w:w="2334" w:type="pct"/>
            <w:tcMar>
              <w:top w:w="0" w:type="dxa"/>
              <w:bottom w:w="0" w:type="dxa"/>
            </w:tcMar>
          </w:tcPr>
          <w:p w:rsidR="00E12A51" w:rsidRPr="00D81AD4" w:rsidRDefault="00E12A51" w:rsidP="00816B78">
            <w:pPr>
              <w:rPr>
                <w:lang w:val="en-US"/>
              </w:rPr>
            </w:pPr>
          </w:p>
        </w:tc>
      </w:tr>
      <w:tr w:rsidR="00417FB7" w:rsidRPr="00F66812" w:rsidTr="000E327E">
        <w:tc>
          <w:tcPr>
            <w:tcW w:w="2282" w:type="pct"/>
          </w:tcPr>
          <w:p w:rsidR="00417FB7" w:rsidRPr="00D81AD4" w:rsidRDefault="00417FB7" w:rsidP="008262A3">
            <w:r w:rsidRPr="00D81AD4">
              <w:t>Coram:  Abella, Karakatsanis and Wagner JJ.</w:t>
            </w:r>
          </w:p>
        </w:tc>
        <w:tc>
          <w:tcPr>
            <w:tcW w:w="384" w:type="pct"/>
          </w:tcPr>
          <w:p w:rsidR="00417FB7" w:rsidRPr="00D81AD4" w:rsidRDefault="00417FB7" w:rsidP="00382FEC"/>
        </w:tc>
        <w:tc>
          <w:tcPr>
            <w:tcW w:w="2334" w:type="pct"/>
          </w:tcPr>
          <w:p w:rsidR="00417FB7" w:rsidRPr="00D81AD4" w:rsidRDefault="00417FB7" w:rsidP="00382FEC">
            <w:pPr>
              <w:rPr>
                <w:lang w:val="fr-CA"/>
              </w:rPr>
            </w:pPr>
            <w:r w:rsidRPr="00D81AD4">
              <w:rPr>
                <w:lang w:val="fr-CA"/>
              </w:rPr>
              <w:t>Coram : Les juges Abella, Karakatsanis et Wagner</w:t>
            </w:r>
          </w:p>
        </w:tc>
      </w:tr>
      <w:tr w:rsidR="00C2612E" w:rsidRPr="00F66812" w:rsidTr="000E327E">
        <w:tc>
          <w:tcPr>
            <w:tcW w:w="2282" w:type="pct"/>
            <w:tcMar>
              <w:top w:w="0" w:type="dxa"/>
              <w:bottom w:w="0" w:type="dxa"/>
            </w:tcMar>
          </w:tcPr>
          <w:p w:rsidR="00C2612E" w:rsidRPr="00D81AD4" w:rsidRDefault="00C2612E" w:rsidP="008262A3">
            <w:pPr>
              <w:rPr>
                <w:lang w:val="fr-CA"/>
              </w:rPr>
            </w:pPr>
          </w:p>
        </w:tc>
        <w:tc>
          <w:tcPr>
            <w:tcW w:w="384" w:type="pct"/>
            <w:tcMar>
              <w:top w:w="0" w:type="dxa"/>
              <w:bottom w:w="0" w:type="dxa"/>
            </w:tcMar>
          </w:tcPr>
          <w:p w:rsidR="00C2612E" w:rsidRPr="00D81AD4" w:rsidRDefault="00C2612E" w:rsidP="00382FEC">
            <w:pPr>
              <w:rPr>
                <w:lang w:val="fr-CA"/>
              </w:rPr>
            </w:pPr>
          </w:p>
        </w:tc>
        <w:tc>
          <w:tcPr>
            <w:tcW w:w="2334" w:type="pct"/>
            <w:tcMar>
              <w:top w:w="0" w:type="dxa"/>
              <w:bottom w:w="0" w:type="dxa"/>
            </w:tcMar>
          </w:tcPr>
          <w:p w:rsidR="00C2612E" w:rsidRPr="00D81AD4" w:rsidRDefault="00C2612E" w:rsidP="00382FEC">
            <w:pPr>
              <w:rPr>
                <w:lang w:val="fr-CA"/>
              </w:rPr>
            </w:pPr>
          </w:p>
        </w:tc>
      </w:tr>
      <w:tr w:rsidR="00824412" w:rsidRPr="004545D7" w:rsidTr="000E327E">
        <w:tc>
          <w:tcPr>
            <w:tcW w:w="2282" w:type="pct"/>
          </w:tcPr>
          <w:p w:rsidR="00582E27" w:rsidRPr="00D81AD4" w:rsidRDefault="00521A98">
            <w:pPr>
              <w:pStyle w:val="SCCLsocPrefix"/>
            </w:pPr>
            <w:r w:rsidRPr="00D81AD4">
              <w:t>BETWEEN:</w:t>
            </w:r>
            <w:r w:rsidRPr="00D81AD4">
              <w:br/>
            </w:r>
          </w:p>
          <w:p w:rsidR="00582E27" w:rsidRPr="00D81AD4" w:rsidRDefault="00521A98">
            <w:pPr>
              <w:pStyle w:val="SCCLsocParty"/>
            </w:pPr>
            <w:proofErr w:type="spellStart"/>
            <w:r w:rsidRPr="00D81AD4">
              <w:t>Savarin</w:t>
            </w:r>
            <w:proofErr w:type="spellEnd"/>
            <w:r w:rsidRPr="00D81AD4">
              <w:t xml:space="preserve"> </w:t>
            </w:r>
            <w:r w:rsidR="007E64B1">
              <w:t>Limited and</w:t>
            </w:r>
            <w:r w:rsidRPr="00D81AD4">
              <w:t xml:space="preserve"> William </w:t>
            </w:r>
            <w:proofErr w:type="spellStart"/>
            <w:r w:rsidRPr="00D81AD4">
              <w:t>Assaf</w:t>
            </w:r>
            <w:proofErr w:type="spellEnd"/>
            <w:r w:rsidRPr="00D81AD4">
              <w:t>, Estate Trustee of the Estate of Edward Assaf, deceased</w:t>
            </w:r>
            <w:r w:rsidRPr="00D81AD4">
              <w:br/>
            </w:r>
          </w:p>
          <w:p w:rsidR="00582E27" w:rsidRPr="00D81AD4" w:rsidRDefault="00521A98">
            <w:pPr>
              <w:pStyle w:val="SCCLsocPartyRole"/>
            </w:pPr>
            <w:r w:rsidRPr="00D81AD4">
              <w:t>Applicants</w:t>
            </w:r>
            <w:r w:rsidRPr="00D81AD4">
              <w:br/>
            </w:r>
          </w:p>
          <w:p w:rsidR="00582E27" w:rsidRPr="00D81AD4" w:rsidRDefault="00521A98">
            <w:pPr>
              <w:pStyle w:val="SCCLsocVersus"/>
            </w:pPr>
            <w:r w:rsidRPr="00D81AD4">
              <w:t>- and -</w:t>
            </w:r>
            <w:r w:rsidRPr="00D81AD4">
              <w:br/>
            </w:r>
          </w:p>
          <w:p w:rsidR="00582E27" w:rsidRPr="00D81AD4" w:rsidRDefault="00521A98">
            <w:pPr>
              <w:pStyle w:val="SCCLsocParty"/>
            </w:pPr>
            <w:r w:rsidRPr="00D81AD4">
              <w:t>Henr</w:t>
            </w:r>
            <w:r w:rsidR="00F66812">
              <w:t>y Koury, Estate of Robert Pogue and</w:t>
            </w:r>
            <w:r w:rsidRPr="00D81AD4">
              <w:t xml:space="preserve"> Pogue </w:t>
            </w:r>
            <w:proofErr w:type="spellStart"/>
            <w:r w:rsidRPr="00D81AD4">
              <w:t>Betsworth</w:t>
            </w:r>
            <w:proofErr w:type="spellEnd"/>
            <w:r w:rsidRPr="00D81AD4">
              <w:t xml:space="preserve"> &amp; Brown</w:t>
            </w:r>
            <w:r w:rsidRPr="00D81AD4">
              <w:br/>
            </w:r>
          </w:p>
          <w:p w:rsidR="00582E27" w:rsidRPr="00D81AD4" w:rsidRDefault="00521A98">
            <w:pPr>
              <w:pStyle w:val="SCCLsocPartyRole"/>
            </w:pPr>
            <w:r w:rsidRPr="00D81AD4">
              <w:t>Respondents</w:t>
            </w:r>
          </w:p>
        </w:tc>
        <w:tc>
          <w:tcPr>
            <w:tcW w:w="384" w:type="pct"/>
          </w:tcPr>
          <w:p w:rsidR="00824412" w:rsidRPr="00D81AD4" w:rsidRDefault="00824412" w:rsidP="00375294"/>
        </w:tc>
        <w:tc>
          <w:tcPr>
            <w:tcW w:w="2334" w:type="pct"/>
          </w:tcPr>
          <w:p w:rsidR="00582E27" w:rsidRPr="007E64B1" w:rsidRDefault="00521A98">
            <w:pPr>
              <w:pStyle w:val="SCCLsocPrefix"/>
              <w:rPr>
                <w:lang w:val="fr-CA"/>
              </w:rPr>
            </w:pPr>
            <w:r w:rsidRPr="007E64B1">
              <w:rPr>
                <w:lang w:val="fr-CA"/>
              </w:rPr>
              <w:t>ENTRE :</w:t>
            </w:r>
            <w:r w:rsidRPr="007E64B1">
              <w:rPr>
                <w:lang w:val="fr-CA"/>
              </w:rPr>
              <w:br/>
            </w:r>
          </w:p>
          <w:p w:rsidR="00582E27" w:rsidRPr="004545D7" w:rsidRDefault="007E64B1">
            <w:pPr>
              <w:pStyle w:val="SCCLsocParty"/>
              <w:rPr>
                <w:lang w:val="fr-CA"/>
              </w:rPr>
            </w:pPr>
            <w:r>
              <w:rPr>
                <w:lang w:val="fr-CA"/>
              </w:rPr>
              <w:t>Savarin Limited et</w:t>
            </w:r>
            <w:r w:rsidR="00521A98" w:rsidRPr="007E64B1">
              <w:rPr>
                <w:lang w:val="fr-CA"/>
              </w:rPr>
              <w:t xml:space="preserve"> William </w:t>
            </w:r>
            <w:proofErr w:type="spellStart"/>
            <w:r w:rsidR="00521A98" w:rsidRPr="007E64B1">
              <w:rPr>
                <w:lang w:val="fr-CA"/>
              </w:rPr>
              <w:t>Assaf</w:t>
            </w:r>
            <w:proofErr w:type="spellEnd"/>
            <w:r w:rsidR="00521A98" w:rsidRPr="007E64B1">
              <w:rPr>
                <w:lang w:val="fr-CA"/>
              </w:rPr>
              <w:t xml:space="preserve">, </w:t>
            </w:r>
            <w:r w:rsidR="00D84F86" w:rsidRPr="007E64B1">
              <w:rPr>
                <w:lang w:val="fr-CA"/>
              </w:rPr>
              <w:t>fiduciaire testamentaire de la succession d’</w:t>
            </w:r>
            <w:r w:rsidR="00521A98" w:rsidRPr="007E64B1">
              <w:rPr>
                <w:lang w:val="fr-CA"/>
              </w:rPr>
              <w:t xml:space="preserve">Edward </w:t>
            </w:r>
            <w:proofErr w:type="spellStart"/>
            <w:r w:rsidR="00521A98" w:rsidRPr="007E64B1">
              <w:rPr>
                <w:lang w:val="fr-CA"/>
              </w:rPr>
              <w:t>Assaf</w:t>
            </w:r>
            <w:proofErr w:type="spellEnd"/>
            <w:r w:rsidR="00521A98" w:rsidRPr="007E64B1">
              <w:rPr>
                <w:lang w:val="fr-CA"/>
              </w:rPr>
              <w:t xml:space="preserve">, </w:t>
            </w:r>
            <w:r w:rsidR="004545D7" w:rsidRPr="004545D7">
              <w:rPr>
                <w:lang w:val="fr-CA"/>
              </w:rPr>
              <w:t>décédé</w:t>
            </w:r>
            <w:r w:rsidR="00521A98" w:rsidRPr="004545D7">
              <w:rPr>
                <w:lang w:val="fr-CA"/>
              </w:rPr>
              <w:br/>
            </w:r>
          </w:p>
          <w:p w:rsidR="00582E27" w:rsidRPr="004545D7" w:rsidRDefault="00521A98">
            <w:pPr>
              <w:pStyle w:val="SCCLsocPartyRole"/>
              <w:rPr>
                <w:lang w:val="fr-CA"/>
              </w:rPr>
            </w:pPr>
            <w:r w:rsidRPr="004545D7">
              <w:rPr>
                <w:lang w:val="fr-CA"/>
              </w:rPr>
              <w:t>Demande</w:t>
            </w:r>
            <w:r w:rsidR="005E7711" w:rsidRPr="004545D7">
              <w:rPr>
                <w:lang w:val="fr-CA"/>
              </w:rPr>
              <w:t>urs</w:t>
            </w:r>
            <w:r w:rsidRPr="004545D7">
              <w:rPr>
                <w:lang w:val="fr-CA"/>
              </w:rPr>
              <w:br/>
            </w:r>
          </w:p>
          <w:p w:rsidR="00582E27" w:rsidRPr="004545D7" w:rsidRDefault="00521A98">
            <w:pPr>
              <w:pStyle w:val="SCCLsocVersus"/>
              <w:rPr>
                <w:lang w:val="fr-CA"/>
              </w:rPr>
            </w:pPr>
            <w:r w:rsidRPr="004545D7">
              <w:rPr>
                <w:lang w:val="fr-CA"/>
              </w:rPr>
              <w:t>- et -</w:t>
            </w:r>
            <w:r w:rsidRPr="004545D7">
              <w:rPr>
                <w:lang w:val="fr-CA"/>
              </w:rPr>
              <w:br/>
            </w:r>
          </w:p>
          <w:p w:rsidR="00582E27" w:rsidRPr="004545D7" w:rsidRDefault="00521A98">
            <w:pPr>
              <w:pStyle w:val="SCCLsocParty"/>
              <w:rPr>
                <w:lang w:val="fr-CA"/>
              </w:rPr>
            </w:pPr>
            <w:r w:rsidRPr="004545D7">
              <w:rPr>
                <w:lang w:val="fr-CA"/>
              </w:rPr>
              <w:t xml:space="preserve">Henry Koury, </w:t>
            </w:r>
            <w:r w:rsidR="004545D7" w:rsidRPr="004545D7">
              <w:rPr>
                <w:lang w:val="fr-CA"/>
              </w:rPr>
              <w:t>succession de</w:t>
            </w:r>
            <w:r w:rsidRPr="004545D7">
              <w:rPr>
                <w:lang w:val="fr-CA"/>
              </w:rPr>
              <w:t xml:space="preserve"> Robert </w:t>
            </w:r>
            <w:proofErr w:type="spellStart"/>
            <w:r w:rsidRPr="004545D7">
              <w:rPr>
                <w:lang w:val="fr-CA"/>
              </w:rPr>
              <w:t>Pogue</w:t>
            </w:r>
            <w:proofErr w:type="spellEnd"/>
            <w:r w:rsidR="00F66812">
              <w:rPr>
                <w:lang w:val="fr-CA"/>
              </w:rPr>
              <w:t xml:space="preserve"> et</w:t>
            </w:r>
            <w:r w:rsidRPr="004545D7">
              <w:rPr>
                <w:lang w:val="fr-CA"/>
              </w:rPr>
              <w:t xml:space="preserve"> </w:t>
            </w:r>
            <w:proofErr w:type="spellStart"/>
            <w:r w:rsidRPr="004545D7">
              <w:rPr>
                <w:lang w:val="fr-CA"/>
              </w:rPr>
              <w:t>Pogue</w:t>
            </w:r>
            <w:proofErr w:type="spellEnd"/>
            <w:r w:rsidRPr="004545D7">
              <w:rPr>
                <w:lang w:val="fr-CA"/>
              </w:rPr>
              <w:t xml:space="preserve"> </w:t>
            </w:r>
            <w:proofErr w:type="spellStart"/>
            <w:r w:rsidRPr="004545D7">
              <w:rPr>
                <w:lang w:val="fr-CA"/>
              </w:rPr>
              <w:t>Betsworth</w:t>
            </w:r>
            <w:proofErr w:type="spellEnd"/>
            <w:r w:rsidRPr="004545D7">
              <w:rPr>
                <w:lang w:val="fr-CA"/>
              </w:rPr>
              <w:t xml:space="preserve"> &amp; Brown</w:t>
            </w:r>
            <w:r w:rsidRPr="004545D7">
              <w:rPr>
                <w:lang w:val="fr-CA"/>
              </w:rPr>
              <w:br/>
            </w:r>
          </w:p>
          <w:p w:rsidR="00582E27" w:rsidRPr="004545D7" w:rsidRDefault="00521A98" w:rsidP="005E7711">
            <w:pPr>
              <w:pStyle w:val="SCCLsocPartyRole"/>
              <w:rPr>
                <w:lang w:val="fr-CA"/>
              </w:rPr>
            </w:pPr>
            <w:r w:rsidRPr="00D81AD4">
              <w:rPr>
                <w:lang w:val="fr-CA"/>
              </w:rPr>
              <w:t>Intimés</w:t>
            </w:r>
          </w:p>
        </w:tc>
      </w:tr>
      <w:tr w:rsidR="00824412" w:rsidRPr="004545D7" w:rsidTr="000E327E">
        <w:tc>
          <w:tcPr>
            <w:tcW w:w="2282" w:type="pct"/>
            <w:tcMar>
              <w:top w:w="0" w:type="dxa"/>
              <w:bottom w:w="0" w:type="dxa"/>
            </w:tcMar>
          </w:tcPr>
          <w:p w:rsidR="00824412" w:rsidRPr="004545D7" w:rsidRDefault="00824412" w:rsidP="00375294">
            <w:pPr>
              <w:rPr>
                <w:lang w:val="fr-CA"/>
              </w:rPr>
            </w:pPr>
          </w:p>
        </w:tc>
        <w:tc>
          <w:tcPr>
            <w:tcW w:w="384" w:type="pct"/>
            <w:tcMar>
              <w:top w:w="0" w:type="dxa"/>
              <w:bottom w:w="0" w:type="dxa"/>
            </w:tcMar>
          </w:tcPr>
          <w:p w:rsidR="00824412" w:rsidRPr="004545D7" w:rsidRDefault="00824412" w:rsidP="00375294">
            <w:pPr>
              <w:rPr>
                <w:lang w:val="fr-CA"/>
              </w:rPr>
            </w:pPr>
          </w:p>
        </w:tc>
        <w:tc>
          <w:tcPr>
            <w:tcW w:w="2334" w:type="pct"/>
            <w:tcMar>
              <w:top w:w="0" w:type="dxa"/>
              <w:bottom w:w="0" w:type="dxa"/>
            </w:tcMar>
          </w:tcPr>
          <w:p w:rsidR="00824412" w:rsidRPr="004545D7" w:rsidRDefault="00824412" w:rsidP="00B408F8">
            <w:pPr>
              <w:rPr>
                <w:lang w:val="fr-CA"/>
              </w:rPr>
            </w:pPr>
          </w:p>
        </w:tc>
      </w:tr>
      <w:tr w:rsidR="00824412" w:rsidRPr="00F66812" w:rsidTr="000E327E">
        <w:tc>
          <w:tcPr>
            <w:tcW w:w="2282" w:type="pct"/>
          </w:tcPr>
          <w:p w:rsidR="00824412" w:rsidRPr="00D81AD4" w:rsidRDefault="00824412" w:rsidP="00C2612E">
            <w:pPr>
              <w:jc w:val="center"/>
            </w:pPr>
            <w:r w:rsidRPr="00D81AD4">
              <w:t>JUDGMENT</w:t>
            </w:r>
          </w:p>
          <w:p w:rsidR="00824412" w:rsidRPr="00D81AD4" w:rsidRDefault="00824412" w:rsidP="00417FB7">
            <w:pPr>
              <w:jc w:val="center"/>
            </w:pPr>
          </w:p>
          <w:p w:rsidR="00824412" w:rsidRPr="00D81AD4" w:rsidRDefault="00341A9F" w:rsidP="00F65C2E">
            <w:pPr>
              <w:jc w:val="both"/>
            </w:pPr>
            <w:r w:rsidRPr="00D81AD4">
              <w:t>The motion for an extension of time to serve and file the application for leave to appeal is dismissed. Had we considered the application for leave to appeal from the judgment of the Court of Appeal for Ontario, Number C55235 and M41318, dated February 11, 2013, it would have been‎ quashed for want of jurisdiction. On that basis, costs are awarded to the respondent Pogue &amp; Company.</w:t>
            </w:r>
          </w:p>
        </w:tc>
        <w:tc>
          <w:tcPr>
            <w:tcW w:w="384" w:type="pct"/>
          </w:tcPr>
          <w:p w:rsidR="00824412" w:rsidRPr="00D81AD4" w:rsidRDefault="00824412" w:rsidP="00417FB7">
            <w:pPr>
              <w:jc w:val="center"/>
            </w:pPr>
          </w:p>
        </w:tc>
        <w:tc>
          <w:tcPr>
            <w:tcW w:w="2334" w:type="pct"/>
          </w:tcPr>
          <w:p w:rsidR="00824412" w:rsidRPr="00D81AD4" w:rsidRDefault="00824412" w:rsidP="00C2612E">
            <w:pPr>
              <w:jc w:val="center"/>
              <w:rPr>
                <w:lang w:val="fr-CA"/>
              </w:rPr>
            </w:pPr>
            <w:r w:rsidRPr="00D81AD4">
              <w:rPr>
                <w:lang w:val="fr-CA"/>
              </w:rPr>
              <w:t>JUGEMENT</w:t>
            </w:r>
          </w:p>
          <w:p w:rsidR="00824412" w:rsidRPr="00D81AD4" w:rsidRDefault="00824412" w:rsidP="00417FB7">
            <w:pPr>
              <w:jc w:val="center"/>
              <w:rPr>
                <w:lang w:val="fr-CA"/>
              </w:rPr>
            </w:pPr>
          </w:p>
          <w:p w:rsidR="00824412" w:rsidRPr="00D81AD4" w:rsidRDefault="00F65C2E" w:rsidP="00392A26">
            <w:pPr>
              <w:jc w:val="both"/>
              <w:rPr>
                <w:lang w:val="fr-CA"/>
              </w:rPr>
            </w:pPr>
            <w:r w:rsidRPr="00D81AD4">
              <w:rPr>
                <w:lang w:val="fr-CA"/>
              </w:rPr>
              <w:t xml:space="preserve">La requête en prorogation du délai de signification et dépôt de la demande d’autorisation d’appel est rejetée. </w:t>
            </w:r>
            <w:r w:rsidR="005E7711" w:rsidRPr="00D81AD4">
              <w:rPr>
                <w:lang w:val="fr-CA"/>
              </w:rPr>
              <w:t xml:space="preserve">Si nous avions examiné </w:t>
            </w:r>
            <w:r w:rsidR="002333A7" w:rsidRPr="00D81AD4">
              <w:rPr>
                <w:lang w:val="fr-CA"/>
              </w:rPr>
              <w:t xml:space="preserve">la demande d’autorisation d’appel de l’arrêt de la Cour d’appel de l’Ontario, numéro </w:t>
            </w:r>
            <w:r w:rsidR="00521A98" w:rsidRPr="00D81AD4">
              <w:rPr>
                <w:lang w:val="fr-CA"/>
              </w:rPr>
              <w:t>C55235 et</w:t>
            </w:r>
            <w:r w:rsidR="00824412" w:rsidRPr="00D81AD4">
              <w:rPr>
                <w:lang w:val="fr-CA"/>
              </w:rPr>
              <w:t xml:space="preserve"> M41318, </w:t>
            </w:r>
            <w:r w:rsidR="00011960" w:rsidRPr="00D81AD4">
              <w:rPr>
                <w:lang w:val="fr-CA"/>
              </w:rPr>
              <w:t>daté du</w:t>
            </w:r>
            <w:r w:rsidR="00824412" w:rsidRPr="00D81AD4">
              <w:rPr>
                <w:lang w:val="fr-CA"/>
              </w:rPr>
              <w:t xml:space="preserve"> 11 février 2013, </w:t>
            </w:r>
            <w:r w:rsidR="00392A26" w:rsidRPr="00D81AD4">
              <w:rPr>
                <w:lang w:val="fr-CA"/>
              </w:rPr>
              <w:t>cette demande aurait été c</w:t>
            </w:r>
            <w:r w:rsidR="00521A98" w:rsidRPr="00D81AD4">
              <w:rPr>
                <w:lang w:val="fr-CA"/>
              </w:rPr>
              <w:t xml:space="preserve">assée </w:t>
            </w:r>
            <w:r w:rsidR="00392A26" w:rsidRPr="00D81AD4">
              <w:rPr>
                <w:lang w:val="fr-CA"/>
              </w:rPr>
              <w:t>pour cause d</w:t>
            </w:r>
            <w:r w:rsidR="00521A98" w:rsidRPr="00D81AD4">
              <w:rPr>
                <w:lang w:val="fr-CA"/>
              </w:rPr>
              <w:t xml:space="preserve">’absence de </w:t>
            </w:r>
            <w:r w:rsidR="00392A26" w:rsidRPr="00D81AD4">
              <w:rPr>
                <w:lang w:val="fr-CA"/>
              </w:rPr>
              <w:t xml:space="preserve">compétence. Pour cette raison, les </w:t>
            </w:r>
            <w:r w:rsidR="00CD03C8" w:rsidRPr="00D81AD4">
              <w:rPr>
                <w:lang w:val="fr-CA"/>
              </w:rPr>
              <w:t xml:space="preserve">dépens </w:t>
            </w:r>
            <w:r w:rsidR="00392A26" w:rsidRPr="00D81AD4">
              <w:rPr>
                <w:lang w:val="fr-CA"/>
              </w:rPr>
              <w:t xml:space="preserve">sont adjugés </w:t>
            </w:r>
            <w:r w:rsidR="00CD03C8" w:rsidRPr="00D81AD4">
              <w:rPr>
                <w:lang w:val="fr-CA"/>
              </w:rPr>
              <w:t xml:space="preserve">en faveur de </w:t>
            </w:r>
            <w:proofErr w:type="spellStart"/>
            <w:r w:rsidR="00CD03C8" w:rsidRPr="00D81AD4">
              <w:rPr>
                <w:lang w:val="fr-CA"/>
              </w:rPr>
              <w:t>Pogue</w:t>
            </w:r>
            <w:proofErr w:type="spellEnd"/>
            <w:r w:rsidR="00CD03C8" w:rsidRPr="00D81AD4">
              <w:rPr>
                <w:lang w:val="fr-CA"/>
              </w:rPr>
              <w:t xml:space="preserve"> &amp; Co.</w:t>
            </w:r>
            <w:r w:rsidR="00011960" w:rsidRPr="00D81AD4">
              <w:rPr>
                <w:lang w:val="fr-CA"/>
              </w:rPr>
              <w:t xml:space="preserve"> </w:t>
            </w:r>
          </w:p>
        </w:tc>
      </w:tr>
    </w:tbl>
    <w:p w:rsidR="009F436C" w:rsidRPr="00D81AD4" w:rsidRDefault="009F436C" w:rsidP="00382FEC">
      <w:pPr>
        <w:rPr>
          <w:lang w:val="fr-CA"/>
        </w:rPr>
      </w:pPr>
    </w:p>
    <w:p w:rsidR="00D81AD4" w:rsidRDefault="00D81AD4" w:rsidP="00417FB7">
      <w:pPr>
        <w:jc w:val="center"/>
        <w:rPr>
          <w:lang w:val="fr-CA"/>
        </w:rPr>
      </w:pPr>
    </w:p>
    <w:p w:rsidR="00D81AD4" w:rsidRDefault="00D81AD4" w:rsidP="00417FB7">
      <w:pPr>
        <w:jc w:val="center"/>
        <w:rPr>
          <w:lang w:val="fr-CA"/>
        </w:rPr>
      </w:pPr>
    </w:p>
    <w:p w:rsidR="009F436C" w:rsidRPr="00D81AD4" w:rsidRDefault="003A37CF" w:rsidP="00417FB7">
      <w:pPr>
        <w:jc w:val="center"/>
        <w:rPr>
          <w:lang w:val="fr-CA"/>
        </w:rPr>
      </w:pPr>
      <w:r w:rsidRPr="00D81AD4">
        <w:rPr>
          <w:lang w:val="fr-CA"/>
        </w:rPr>
        <w:t>J.S.C.C.</w:t>
      </w:r>
    </w:p>
    <w:p w:rsidR="008F53F3" w:rsidRPr="00A252FA" w:rsidRDefault="003A37CF" w:rsidP="00521A98">
      <w:pPr>
        <w:jc w:val="center"/>
        <w:rPr>
          <w:lang w:val="fr-CA"/>
        </w:rPr>
      </w:pPr>
      <w:r w:rsidRPr="00D81AD4">
        <w:rPr>
          <w:lang w:val="fr-CA"/>
        </w:rPr>
        <w:t>J.C.S.C.</w:t>
      </w:r>
    </w:p>
    <w:sectPr w:rsidR="008F53F3" w:rsidRPr="00A252FA" w:rsidSect="00521A98">
      <w:headerReference w:type="default" r:id="rId6"/>
      <w:pgSz w:w="12240" w:h="15840"/>
      <w:pgMar w:top="1440" w:right="1440" w:bottom="540" w:left="1440" w:header="14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3A7" w:rsidRDefault="002333A7">
      <w:r>
        <w:separator/>
      </w:r>
    </w:p>
  </w:endnote>
  <w:endnote w:type="continuationSeparator" w:id="0">
    <w:p w:rsidR="002333A7" w:rsidRDefault="002333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3A7" w:rsidRDefault="002333A7">
      <w:r>
        <w:separator/>
      </w:r>
    </w:p>
  </w:footnote>
  <w:footnote w:type="continuationSeparator" w:id="0">
    <w:p w:rsidR="002333A7" w:rsidRDefault="002333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A7" w:rsidRDefault="002333A7" w:rsidP="008F53F3">
    <w:pPr>
      <w:tabs>
        <w:tab w:val="center" w:pos="4680"/>
      </w:tabs>
      <w:jc w:val="center"/>
      <w:rPr>
        <w:szCs w:val="24"/>
      </w:rPr>
    </w:pPr>
    <w:r>
      <w:rPr>
        <w:szCs w:val="24"/>
      </w:rPr>
      <w:t xml:space="preserve">- </w:t>
    </w:r>
    <w:r w:rsidR="002214C7" w:rsidRPr="00417FB7">
      <w:rPr>
        <w:szCs w:val="24"/>
      </w:rPr>
      <w:fldChar w:fldCharType="begin"/>
    </w:r>
    <w:r w:rsidRPr="00417FB7">
      <w:rPr>
        <w:szCs w:val="24"/>
      </w:rPr>
      <w:instrText xml:space="preserve"> PAGE   \* MERGEFORMAT </w:instrText>
    </w:r>
    <w:r w:rsidR="002214C7" w:rsidRPr="00417FB7">
      <w:rPr>
        <w:szCs w:val="24"/>
      </w:rPr>
      <w:fldChar w:fldCharType="separate"/>
    </w:r>
    <w:r w:rsidR="00D81AD4">
      <w:rPr>
        <w:noProof/>
        <w:szCs w:val="24"/>
      </w:rPr>
      <w:t>2</w:t>
    </w:r>
    <w:r w:rsidR="002214C7" w:rsidRPr="00417FB7">
      <w:rPr>
        <w:szCs w:val="24"/>
      </w:rPr>
      <w:fldChar w:fldCharType="end"/>
    </w:r>
    <w:r>
      <w:rPr>
        <w:szCs w:val="24"/>
      </w:rPr>
      <w:t xml:space="preserve"> -</w:t>
    </w:r>
  </w:p>
  <w:p w:rsidR="002333A7" w:rsidRDefault="002333A7" w:rsidP="008F53F3">
    <w:pPr>
      <w:rPr>
        <w:szCs w:val="24"/>
      </w:rPr>
    </w:pPr>
  </w:p>
  <w:p w:rsidR="002333A7" w:rsidRDefault="002333A7" w:rsidP="008F53F3">
    <w:pPr>
      <w:rPr>
        <w:szCs w:val="24"/>
      </w:rPr>
    </w:pPr>
  </w:p>
  <w:p w:rsidR="002333A7" w:rsidRDefault="002333A7" w:rsidP="008F53F3">
    <w:pPr>
      <w:tabs>
        <w:tab w:val="right" w:pos="9360"/>
      </w:tabs>
      <w:jc w:val="right"/>
      <w:rPr>
        <w:szCs w:val="24"/>
      </w:rPr>
    </w:pPr>
    <w:r>
      <w:rPr>
        <w:szCs w:val="24"/>
      </w:rPr>
      <w:t xml:space="preserve">No. </w:t>
    </w:r>
    <w:r>
      <w:t>36056</w:t>
    </w:r>
    <w:r>
      <w:rPr>
        <w:szCs w:val="24"/>
      </w:rPr>
      <w:t>     </w:t>
    </w:r>
  </w:p>
  <w:p w:rsidR="002333A7" w:rsidRDefault="002333A7" w:rsidP="008F53F3">
    <w:pPr>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D7521"/>
    <w:rsid w:val="000E327E"/>
    <w:rsid w:val="000E4CCE"/>
    <w:rsid w:val="00110EB3"/>
    <w:rsid w:val="00114B26"/>
    <w:rsid w:val="0016666F"/>
    <w:rsid w:val="00167C15"/>
    <w:rsid w:val="001B3EC0"/>
    <w:rsid w:val="001D0116"/>
    <w:rsid w:val="001D4323"/>
    <w:rsid w:val="001E1079"/>
    <w:rsid w:val="00203642"/>
    <w:rsid w:val="00212BA0"/>
    <w:rsid w:val="002214C7"/>
    <w:rsid w:val="002333A7"/>
    <w:rsid w:val="002523DE"/>
    <w:rsid w:val="002568D3"/>
    <w:rsid w:val="0027284C"/>
    <w:rsid w:val="002B5FA6"/>
    <w:rsid w:val="002C6423"/>
    <w:rsid w:val="002D2D44"/>
    <w:rsid w:val="0031097F"/>
    <w:rsid w:val="0031165C"/>
    <w:rsid w:val="00326E5F"/>
    <w:rsid w:val="00335879"/>
    <w:rsid w:val="00341A9F"/>
    <w:rsid w:val="00356186"/>
    <w:rsid w:val="00374E7D"/>
    <w:rsid w:val="00375294"/>
    <w:rsid w:val="00382FC7"/>
    <w:rsid w:val="00382FEC"/>
    <w:rsid w:val="00385A90"/>
    <w:rsid w:val="00392A26"/>
    <w:rsid w:val="003A37CF"/>
    <w:rsid w:val="003B1F3D"/>
    <w:rsid w:val="00414694"/>
    <w:rsid w:val="00417FB7"/>
    <w:rsid w:val="0042783F"/>
    <w:rsid w:val="004545D7"/>
    <w:rsid w:val="004943CF"/>
    <w:rsid w:val="004956DA"/>
    <w:rsid w:val="004D4658"/>
    <w:rsid w:val="00521A98"/>
    <w:rsid w:val="0055345D"/>
    <w:rsid w:val="00563E2C"/>
    <w:rsid w:val="00582E27"/>
    <w:rsid w:val="00587869"/>
    <w:rsid w:val="005E07D7"/>
    <w:rsid w:val="005E32F4"/>
    <w:rsid w:val="005E7711"/>
    <w:rsid w:val="00612913"/>
    <w:rsid w:val="00614908"/>
    <w:rsid w:val="00650109"/>
    <w:rsid w:val="006E7BAE"/>
    <w:rsid w:val="00701109"/>
    <w:rsid w:val="007372EA"/>
    <w:rsid w:val="00777612"/>
    <w:rsid w:val="0079129C"/>
    <w:rsid w:val="007917FE"/>
    <w:rsid w:val="007A54CC"/>
    <w:rsid w:val="007C5DE8"/>
    <w:rsid w:val="007E64B1"/>
    <w:rsid w:val="007E68C7"/>
    <w:rsid w:val="00804BE2"/>
    <w:rsid w:val="00816B78"/>
    <w:rsid w:val="00824412"/>
    <w:rsid w:val="008262A3"/>
    <w:rsid w:val="00830BBE"/>
    <w:rsid w:val="0086042A"/>
    <w:rsid w:val="00870CF7"/>
    <w:rsid w:val="008763A3"/>
    <w:rsid w:val="008813BC"/>
    <w:rsid w:val="00895263"/>
    <w:rsid w:val="008A0569"/>
    <w:rsid w:val="008A153F"/>
    <w:rsid w:val="008F53F3"/>
    <w:rsid w:val="009305BF"/>
    <w:rsid w:val="00951EF6"/>
    <w:rsid w:val="0096638C"/>
    <w:rsid w:val="00971A08"/>
    <w:rsid w:val="009B161D"/>
    <w:rsid w:val="009C76BE"/>
    <w:rsid w:val="009D45DF"/>
    <w:rsid w:val="009E0F71"/>
    <w:rsid w:val="009E7A46"/>
    <w:rsid w:val="009F26C4"/>
    <w:rsid w:val="009F436C"/>
    <w:rsid w:val="00A03153"/>
    <w:rsid w:val="00A103E3"/>
    <w:rsid w:val="00A252FA"/>
    <w:rsid w:val="00AB4A38"/>
    <w:rsid w:val="00AB5E22"/>
    <w:rsid w:val="00AE2077"/>
    <w:rsid w:val="00B158E3"/>
    <w:rsid w:val="00B408F8"/>
    <w:rsid w:val="00B5078E"/>
    <w:rsid w:val="00B52DDC"/>
    <w:rsid w:val="00B60EDC"/>
    <w:rsid w:val="00BC39BE"/>
    <w:rsid w:val="00BD4E4C"/>
    <w:rsid w:val="00BF7644"/>
    <w:rsid w:val="00C1285B"/>
    <w:rsid w:val="00C173B0"/>
    <w:rsid w:val="00C2612E"/>
    <w:rsid w:val="00C567A0"/>
    <w:rsid w:val="00CA5EFE"/>
    <w:rsid w:val="00CD03C8"/>
    <w:rsid w:val="00CE249F"/>
    <w:rsid w:val="00CF17D0"/>
    <w:rsid w:val="00D42339"/>
    <w:rsid w:val="00D47DC9"/>
    <w:rsid w:val="00D61AC2"/>
    <w:rsid w:val="00D81AD4"/>
    <w:rsid w:val="00D83B8C"/>
    <w:rsid w:val="00D84F86"/>
    <w:rsid w:val="00DA4281"/>
    <w:rsid w:val="00DB1ADC"/>
    <w:rsid w:val="00E12A51"/>
    <w:rsid w:val="00E242C9"/>
    <w:rsid w:val="00E60E5D"/>
    <w:rsid w:val="00E736B9"/>
    <w:rsid w:val="00E777AD"/>
    <w:rsid w:val="00EA4B61"/>
    <w:rsid w:val="00EE2A6C"/>
    <w:rsid w:val="00EF6754"/>
    <w:rsid w:val="00EF707C"/>
    <w:rsid w:val="00F06BF6"/>
    <w:rsid w:val="00F1759D"/>
    <w:rsid w:val="00F20569"/>
    <w:rsid w:val="00F40FBF"/>
    <w:rsid w:val="00F47372"/>
    <w:rsid w:val="00F5034C"/>
    <w:rsid w:val="00F65C2E"/>
    <w:rsid w:val="00F66812"/>
    <w:rsid w:val="00F70D4F"/>
    <w:rsid w:val="00F747B4"/>
    <w:rsid w:val="00F76E97"/>
    <w:rsid w:val="00F84E07"/>
    <w:rsid w:val="00F874E6"/>
    <w:rsid w:val="00FD4F58"/>
    <w:rsid w:val="00FF2A58"/>
    <w:rsid w:val="00FF500D"/>
    <w:rsid w:val="00FF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1182</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2015-01-12T15:57:00Z</dcterms:created>
  <dcterms:modified xsi:type="dcterms:W3CDTF">2015-01-14T18:40:00Z</dcterms:modified>
</cp:coreProperties>
</file>