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36180</w:t>
      </w:r>
      <w:r w:rsidR="00E81C0B" w:rsidRPr="001E26DB">
        <w:t>     </w:t>
      </w:r>
    </w:p>
    <w:p w:rsidR="009F436C" w:rsidRPr="001E26DB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431"/>
        <w:gridCol w:w="744"/>
        <w:gridCol w:w="4589"/>
      </w:tblGrid>
      <w:tr w:rsidR="00417FB7" w:rsidRPr="00F67F03" w:rsidTr="00B37A52">
        <w:tc>
          <w:tcPr>
            <w:tcW w:w="2269" w:type="pct"/>
          </w:tcPr>
          <w:p w:rsidR="00417FB7" w:rsidRPr="001E26DB" w:rsidRDefault="007F36BA" w:rsidP="008262A3">
            <w:r>
              <w:t>Le 16</w:t>
            </w:r>
            <w:r w:rsidR="00990F06">
              <w:t xml:space="preserve"> avril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36BA" w:rsidP="0027081E">
            <w:pPr>
              <w:rPr>
                <w:lang w:val="en-CA"/>
              </w:rPr>
            </w:pPr>
            <w:r>
              <w:t>April 16</w:t>
            </w:r>
            <w:r w:rsidR="00990F06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562E4C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7F36BA">
              <w:rPr>
                <w:lang w:val="en-CA"/>
              </w:rPr>
              <w:t xml:space="preserve">McLachlin C.J. and Wagner and </w:t>
            </w:r>
            <w:proofErr w:type="spellStart"/>
            <w:r w:rsidRPr="007F36BA">
              <w:rPr>
                <w:lang w:val="en-CA"/>
              </w:rPr>
              <w:t>Gascon</w:t>
            </w:r>
            <w:proofErr w:type="spellEnd"/>
            <w:r w:rsidRPr="007F36BA">
              <w:rPr>
                <w:lang w:val="en-CA"/>
              </w:rPr>
              <w:t> JJ.</w:t>
            </w:r>
          </w:p>
        </w:tc>
      </w:tr>
      <w:tr w:rsidR="00C2612E" w:rsidRPr="00562E4C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F36BA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F36BA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C50CCB" w:rsidRDefault="006F5FED">
            <w:pPr>
              <w:pStyle w:val="SCCLsocPrefix"/>
            </w:pPr>
            <w:r>
              <w:t>ENTRE :</w:t>
            </w:r>
            <w:r>
              <w:br/>
            </w:r>
          </w:p>
          <w:p w:rsidR="00C50CCB" w:rsidRDefault="006F5FED">
            <w:pPr>
              <w:pStyle w:val="SCCLsocParty"/>
            </w:pPr>
            <w:proofErr w:type="spellStart"/>
            <w:r>
              <w:t>Kenauk</w:t>
            </w:r>
            <w:proofErr w:type="spellEnd"/>
            <w:r>
              <w:t xml:space="preserve"> Immobilière S.E.C.</w:t>
            </w:r>
            <w:r>
              <w:br/>
            </w:r>
          </w:p>
          <w:p w:rsidR="00C50CCB" w:rsidRDefault="007F36BA">
            <w:pPr>
              <w:pStyle w:val="SCCLsocPartyRole"/>
            </w:pPr>
            <w:r>
              <w:t>Demanderesse</w:t>
            </w:r>
            <w:r w:rsidR="006F5FED">
              <w:br/>
            </w:r>
          </w:p>
          <w:p w:rsidR="00C50CCB" w:rsidRDefault="006F5FED">
            <w:pPr>
              <w:pStyle w:val="SCCLsocVersus"/>
            </w:pPr>
            <w:r>
              <w:t>- et -</w:t>
            </w:r>
            <w:r>
              <w:br/>
            </w:r>
          </w:p>
          <w:p w:rsidR="00C50CCB" w:rsidRDefault="006F5FED">
            <w:pPr>
              <w:pStyle w:val="SCCLsocParty"/>
            </w:pPr>
            <w:r>
              <w:t xml:space="preserve">Serge Bruneau, Raymond Laporte, John Marshall, Éric </w:t>
            </w:r>
            <w:proofErr w:type="spellStart"/>
            <w:r>
              <w:t>Therrien</w:t>
            </w:r>
            <w:proofErr w:type="spellEnd"/>
            <w:r>
              <w:t xml:space="preserve">, Éric Charbonneau, Gérard Sévigné, Alexandre Alaire, Ryan Ward, Paul Savard, Francis Alaire, Martin </w:t>
            </w:r>
            <w:proofErr w:type="spellStart"/>
            <w:r>
              <w:t>Beaucage</w:t>
            </w:r>
            <w:proofErr w:type="spellEnd"/>
            <w:r>
              <w:t xml:space="preserve">, Gilles </w:t>
            </w:r>
            <w:proofErr w:type="spellStart"/>
            <w:r>
              <w:t>Caubel</w:t>
            </w:r>
            <w:proofErr w:type="spellEnd"/>
            <w:r>
              <w:t xml:space="preserve">, Guy </w:t>
            </w:r>
            <w:proofErr w:type="spellStart"/>
            <w:r>
              <w:t>Caubel</w:t>
            </w:r>
            <w:proofErr w:type="spellEnd"/>
            <w:r>
              <w:t xml:space="preserve">, </w:t>
            </w:r>
            <w:r w:rsidR="00C01A5C">
              <w:t>S</w:t>
            </w:r>
            <w:r>
              <w:t>ociété de la faune et des parcs du Québec</w:t>
            </w:r>
            <w:r w:rsidR="007F36BA">
              <w:t xml:space="preserve"> et </w:t>
            </w:r>
            <w:r>
              <w:t xml:space="preserve"> </w:t>
            </w:r>
            <w:r w:rsidR="00C01A5C">
              <w:t>p</w:t>
            </w:r>
            <w:r>
              <w:t>rocureur</w:t>
            </w:r>
            <w:r w:rsidR="007F36BA">
              <w:t>e</w:t>
            </w:r>
            <w:r>
              <w:t xml:space="preserve"> général</w:t>
            </w:r>
            <w:r w:rsidR="007F36BA">
              <w:t>e</w:t>
            </w:r>
            <w:r>
              <w:t xml:space="preserve"> du Québec</w:t>
            </w:r>
            <w:r>
              <w:br/>
            </w:r>
          </w:p>
          <w:p w:rsidR="00C50CCB" w:rsidRDefault="006F5FED" w:rsidP="007F36BA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50CCB" w:rsidRPr="007F36BA" w:rsidRDefault="006F5FED">
            <w:pPr>
              <w:pStyle w:val="SCCLsocPrefix"/>
              <w:rPr>
                <w:lang w:val="en-CA"/>
              </w:rPr>
            </w:pPr>
            <w:r w:rsidRPr="007F36BA">
              <w:rPr>
                <w:lang w:val="en-CA"/>
              </w:rPr>
              <w:t>BETWEEN:</w:t>
            </w:r>
            <w:r w:rsidRPr="007F36BA">
              <w:rPr>
                <w:lang w:val="en-CA"/>
              </w:rPr>
              <w:br/>
            </w:r>
          </w:p>
          <w:p w:rsidR="00C50CCB" w:rsidRPr="007F36BA" w:rsidRDefault="006F5FED">
            <w:pPr>
              <w:pStyle w:val="SCCLsocParty"/>
              <w:rPr>
                <w:lang w:val="en-CA"/>
              </w:rPr>
            </w:pPr>
            <w:proofErr w:type="spellStart"/>
            <w:r w:rsidRPr="007F36BA">
              <w:rPr>
                <w:lang w:val="en-CA"/>
              </w:rPr>
              <w:t>Kenauk</w:t>
            </w:r>
            <w:proofErr w:type="spellEnd"/>
            <w:r w:rsidRPr="007F36BA">
              <w:rPr>
                <w:lang w:val="en-CA"/>
              </w:rPr>
              <w:t xml:space="preserve"> Properties L.P.</w:t>
            </w:r>
            <w:r w:rsidRPr="007F36BA">
              <w:rPr>
                <w:lang w:val="en-CA"/>
              </w:rPr>
              <w:br/>
            </w:r>
          </w:p>
          <w:p w:rsidR="00C50CCB" w:rsidRDefault="006F5FED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C50CCB" w:rsidRDefault="006F5FED">
            <w:pPr>
              <w:pStyle w:val="SCCLsocVersus"/>
            </w:pPr>
            <w:r>
              <w:t>- and -</w:t>
            </w:r>
            <w:r>
              <w:br/>
            </w:r>
          </w:p>
          <w:p w:rsidR="00C50CCB" w:rsidRDefault="006F5FED">
            <w:pPr>
              <w:pStyle w:val="SCCLsocParty"/>
            </w:pPr>
            <w:r>
              <w:t xml:space="preserve">Serge Bruneau, Raymond Laporte, John Marshall, Éric </w:t>
            </w:r>
            <w:proofErr w:type="spellStart"/>
            <w:r>
              <w:t>Therrien</w:t>
            </w:r>
            <w:proofErr w:type="spellEnd"/>
            <w:r>
              <w:t xml:space="preserve">, Éric Charbonneau, Gérard Sévigné, Alexandre Alaire, Ryan Ward, Paul Savard, Francis Alaire, Martin </w:t>
            </w:r>
            <w:proofErr w:type="spellStart"/>
            <w:r>
              <w:t>Beaucage</w:t>
            </w:r>
            <w:proofErr w:type="spellEnd"/>
            <w:r>
              <w:t xml:space="preserve">, Gilles </w:t>
            </w:r>
            <w:proofErr w:type="spellStart"/>
            <w:r>
              <w:t>Caubel</w:t>
            </w:r>
            <w:proofErr w:type="spellEnd"/>
            <w:r>
              <w:t xml:space="preserve">, Guy </w:t>
            </w:r>
            <w:proofErr w:type="spellStart"/>
            <w:r>
              <w:t>Caubel</w:t>
            </w:r>
            <w:proofErr w:type="spellEnd"/>
            <w:r>
              <w:t xml:space="preserve">, </w:t>
            </w:r>
            <w:r w:rsidR="00C01A5C">
              <w:t>S</w:t>
            </w:r>
            <w:r>
              <w:t>ociété de la faune et des parcs du Québec</w:t>
            </w:r>
            <w:r w:rsidR="007F36BA">
              <w:t xml:space="preserve"> and</w:t>
            </w:r>
            <w:r>
              <w:t xml:space="preserve"> Attorney General of </w:t>
            </w:r>
            <w:proofErr w:type="spellStart"/>
            <w:r>
              <w:t>Quebec</w:t>
            </w:r>
            <w:proofErr w:type="spellEnd"/>
            <w:r>
              <w:br/>
            </w:r>
          </w:p>
          <w:p w:rsidR="00C50CCB" w:rsidRDefault="006F5FED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62E4C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562E4C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500-09-023215-122</w:t>
            </w:r>
            <w:r w:rsidRPr="001E26DB">
              <w:t xml:space="preserve">, </w:t>
            </w:r>
            <w:r w:rsidR="00C01A5C">
              <w:t xml:space="preserve">2014 QCCA 1882, </w:t>
            </w:r>
            <w:r w:rsidRPr="001E26DB">
              <w:t xml:space="preserve">daté du </w:t>
            </w:r>
            <w:r>
              <w:t>19 septembre 2014</w:t>
            </w:r>
            <w:r w:rsidRPr="001E26DB">
              <w:t xml:space="preserve">, est </w:t>
            </w:r>
            <w:r w:rsidR="007F36BA">
              <w:t>rejetée</w:t>
            </w:r>
            <w:r w:rsidR="00C01A5C">
              <w:t xml:space="preserve"> avec dépens</w:t>
            </w:r>
            <w:r w:rsidR="007F36BA">
              <w:t xml:space="preserve"> en faveur de la procureur</w:t>
            </w:r>
            <w:r w:rsidR="00C01A5C">
              <w:t>e</w:t>
            </w:r>
            <w:r w:rsidR="00562E4C">
              <w:t xml:space="preserve"> </w:t>
            </w:r>
            <w:r w:rsidR="007F36BA">
              <w:t>générale du Québec.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7F36B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7F36BA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7F36BA">
              <w:rPr>
                <w:lang w:val="en-CA"/>
              </w:rPr>
              <w:t>500-09-023215-122</w:t>
            </w:r>
            <w:r w:rsidRPr="001E26DB">
              <w:rPr>
                <w:lang w:val="en-CA"/>
              </w:rPr>
              <w:t xml:space="preserve">, </w:t>
            </w:r>
            <w:r w:rsidR="00C01A5C" w:rsidRPr="00C01A5C">
              <w:rPr>
                <w:lang w:val="en-CA"/>
              </w:rPr>
              <w:t xml:space="preserve">2014 QCCA 1882, </w:t>
            </w:r>
            <w:r w:rsidRPr="001E26DB">
              <w:rPr>
                <w:lang w:val="en-CA"/>
              </w:rPr>
              <w:t xml:space="preserve">dated </w:t>
            </w:r>
            <w:r w:rsidRPr="007F36BA">
              <w:rPr>
                <w:lang w:val="en-CA"/>
              </w:rPr>
              <w:t>September 19, 2014</w:t>
            </w:r>
            <w:r w:rsidR="006F5FED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7F36BA">
              <w:rPr>
                <w:lang w:val="en-CA"/>
              </w:rPr>
              <w:t>dismissed with costs to the Attorney General of Quebec.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en-US"/>
        </w:rPr>
      </w:pPr>
    </w:p>
    <w:p w:rsidR="007F36BA" w:rsidRDefault="007F36BA" w:rsidP="00382FEC">
      <w:pPr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:rsidR="00655333" w:rsidRPr="00F67F03" w:rsidRDefault="00655333" w:rsidP="007F36BA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7F36BA">
      <w:headerReference w:type="default" r:id="rId6"/>
      <w:pgSz w:w="12240" w:h="15840"/>
      <w:pgMar w:top="1152" w:right="1440" w:bottom="1440" w:left="1152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E2EB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E2EB1" w:rsidRPr="00417FB7">
      <w:rPr>
        <w:szCs w:val="24"/>
      </w:rPr>
      <w:fldChar w:fldCharType="separate"/>
    </w:r>
    <w:r w:rsidR="00C01A5C">
      <w:rPr>
        <w:noProof/>
        <w:szCs w:val="24"/>
      </w:rPr>
      <w:t>2</w:t>
    </w:r>
    <w:r w:rsidR="006E2EB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36180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31DF"/>
    <w:rsid w:val="004943CF"/>
    <w:rsid w:val="004956DA"/>
    <w:rsid w:val="004F63BA"/>
    <w:rsid w:val="00504B7F"/>
    <w:rsid w:val="00524C94"/>
    <w:rsid w:val="00562E4C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E2EB1"/>
    <w:rsid w:val="006F1DF9"/>
    <w:rsid w:val="006F5FED"/>
    <w:rsid w:val="00701109"/>
    <w:rsid w:val="007372EA"/>
    <w:rsid w:val="0076003F"/>
    <w:rsid w:val="0079129C"/>
    <w:rsid w:val="007919AE"/>
    <w:rsid w:val="007A54CC"/>
    <w:rsid w:val="007B340F"/>
    <w:rsid w:val="007F36BA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01A5C"/>
    <w:rsid w:val="00C2612E"/>
    <w:rsid w:val="00C50CCB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1151</Characters>
  <Application>Microsoft Office Word</Application>
  <DocSecurity>0</DocSecurity>
  <Lines>9</Lines>
  <Paragraphs>2</Paragraphs>
  <ScaleCrop>false</ScaleCrop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2015-03-31T15:27:00Z</dcterms:created>
  <dcterms:modified xsi:type="dcterms:W3CDTF">2015-04-14T18:33:00Z</dcterms:modified>
</cp:coreProperties>
</file>