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36153</w:t>
      </w:r>
      <w:r w:rsidR="0016666F" w:rsidRPr="006E7BAE">
        <w:t>     </w:t>
      </w:r>
    </w:p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6E7BAE" w:rsidTr="00C173B0">
        <w:tc>
          <w:tcPr>
            <w:tcW w:w="2269" w:type="pct"/>
          </w:tcPr>
          <w:p w:rsidR="00417FB7" w:rsidRPr="006E7BAE" w:rsidRDefault="00B51DE9" w:rsidP="008262A3">
            <w:r>
              <w:t>April 23</w:t>
            </w:r>
            <w:r w:rsidR="00EF707C">
              <w:t>, 2015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B51DE9" w:rsidP="00816B78">
            <w:pPr>
              <w:rPr>
                <w:lang w:val="en-US"/>
              </w:rPr>
            </w:pPr>
            <w:r>
              <w:t>Le 23</w:t>
            </w:r>
            <w:r w:rsidR="00EF707C">
              <w:t xml:space="preserve"> </w:t>
            </w:r>
            <w:proofErr w:type="spellStart"/>
            <w:r w:rsidR="00EF707C">
              <w:t>avril</w:t>
            </w:r>
            <w:proofErr w:type="spellEnd"/>
            <w:r w:rsidR="00EF707C">
              <w:t xml:space="preserve"> 2015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FD553D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Wagner and Gascon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0051E9">
              <w:rPr>
                <w:lang w:val="fr-CA"/>
              </w:rPr>
              <w:t>La juge en chef McLachlin et les juges Wagner et Gascon</w:t>
            </w:r>
          </w:p>
        </w:tc>
      </w:tr>
      <w:tr w:rsidR="00C2612E" w:rsidRPr="00FD553D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0051E9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0051E9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C173B0">
        <w:tc>
          <w:tcPr>
            <w:tcW w:w="2269" w:type="pct"/>
          </w:tcPr>
          <w:p w:rsidR="006C6B09" w:rsidRDefault="000051E9">
            <w:pPr>
              <w:pStyle w:val="SCCLsocPrefix"/>
            </w:pPr>
            <w:r>
              <w:t>BETWEEN:</w:t>
            </w:r>
            <w:r>
              <w:br/>
            </w:r>
          </w:p>
          <w:p w:rsidR="006C6B09" w:rsidRDefault="000051E9">
            <w:pPr>
              <w:pStyle w:val="SCCLsocParty"/>
            </w:pPr>
            <w:r>
              <w:t>Ryan Glenn Ziegler</w:t>
            </w:r>
            <w:r>
              <w:br/>
            </w:r>
          </w:p>
          <w:p w:rsidR="006C6B09" w:rsidRDefault="000051E9">
            <w:pPr>
              <w:pStyle w:val="SCCLsocPartyRole"/>
            </w:pPr>
            <w:r>
              <w:t>Applicant</w:t>
            </w:r>
            <w:r>
              <w:br/>
            </w:r>
          </w:p>
          <w:p w:rsidR="006C6B09" w:rsidRDefault="000051E9">
            <w:pPr>
              <w:pStyle w:val="SCCLsocVersus"/>
            </w:pPr>
            <w:r>
              <w:t>- and -</w:t>
            </w:r>
            <w:r>
              <w:br/>
            </w:r>
          </w:p>
          <w:p w:rsidR="006C6B09" w:rsidRDefault="000051E9">
            <w:pPr>
              <w:pStyle w:val="SCCLsocParty"/>
            </w:pPr>
            <w:r>
              <w:t>Her Majesty the Queen</w:t>
            </w:r>
            <w:r>
              <w:br/>
            </w:r>
          </w:p>
          <w:p w:rsidR="006C6B09" w:rsidRDefault="000051E9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6C6B09" w:rsidRPr="000051E9" w:rsidRDefault="000051E9">
            <w:pPr>
              <w:pStyle w:val="SCCLsocPrefix"/>
              <w:rPr>
                <w:lang w:val="fr-CA"/>
              </w:rPr>
            </w:pPr>
            <w:r w:rsidRPr="000051E9">
              <w:rPr>
                <w:lang w:val="fr-CA"/>
              </w:rPr>
              <w:t>ENTRE :</w:t>
            </w:r>
            <w:r w:rsidRPr="000051E9">
              <w:rPr>
                <w:lang w:val="fr-CA"/>
              </w:rPr>
              <w:br/>
            </w:r>
          </w:p>
          <w:p w:rsidR="006C6B09" w:rsidRPr="000051E9" w:rsidRDefault="000051E9">
            <w:pPr>
              <w:pStyle w:val="SCCLsocParty"/>
              <w:rPr>
                <w:lang w:val="fr-CA"/>
              </w:rPr>
            </w:pPr>
            <w:r w:rsidRPr="000051E9">
              <w:rPr>
                <w:lang w:val="fr-CA"/>
              </w:rPr>
              <w:t>Ryan Glenn Ziegler</w:t>
            </w:r>
            <w:r w:rsidRPr="000051E9">
              <w:rPr>
                <w:lang w:val="fr-CA"/>
              </w:rPr>
              <w:br/>
            </w:r>
          </w:p>
          <w:p w:rsidR="006C6B09" w:rsidRPr="000051E9" w:rsidRDefault="000051E9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Pr="000051E9">
              <w:rPr>
                <w:lang w:val="fr-CA"/>
              </w:rPr>
              <w:br/>
            </w:r>
          </w:p>
          <w:p w:rsidR="006C6B09" w:rsidRPr="000051E9" w:rsidRDefault="000051E9">
            <w:pPr>
              <w:pStyle w:val="SCCLsocVersus"/>
              <w:rPr>
                <w:lang w:val="fr-CA"/>
              </w:rPr>
            </w:pPr>
            <w:r w:rsidRPr="000051E9">
              <w:rPr>
                <w:lang w:val="fr-CA"/>
              </w:rPr>
              <w:t>- et -</w:t>
            </w:r>
            <w:r w:rsidRPr="000051E9">
              <w:rPr>
                <w:lang w:val="fr-CA"/>
              </w:rPr>
              <w:br/>
            </w:r>
          </w:p>
          <w:p w:rsidR="006C6B09" w:rsidRPr="000051E9" w:rsidRDefault="000051E9">
            <w:pPr>
              <w:pStyle w:val="SCCLsocParty"/>
              <w:rPr>
                <w:lang w:val="fr-CA"/>
              </w:rPr>
            </w:pPr>
            <w:r w:rsidRPr="000051E9">
              <w:rPr>
                <w:lang w:val="fr-CA"/>
              </w:rPr>
              <w:t>Sa Majesté la Reine</w:t>
            </w:r>
            <w:r w:rsidRPr="000051E9">
              <w:rPr>
                <w:lang w:val="fr-CA"/>
              </w:rPr>
              <w:br/>
            </w:r>
          </w:p>
          <w:p w:rsidR="006C6B09" w:rsidRDefault="000051E9">
            <w:pPr>
              <w:pStyle w:val="SCCLsocPartyRole"/>
            </w:pPr>
            <w:proofErr w:type="spellStart"/>
            <w:r>
              <w:t>Intimée</w:t>
            </w:r>
            <w:proofErr w:type="spellEnd"/>
          </w:p>
        </w:tc>
      </w:tr>
      <w:tr w:rsidR="00824412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FD553D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0051E9" w:rsidP="00FD553D">
            <w:pPr>
              <w:jc w:val="both"/>
            </w:pPr>
            <w:r>
              <w:t xml:space="preserve">The motion for an extension of time to serve and file the application for leave to appeal is granted.  The motion </w:t>
            </w:r>
            <w:r w:rsidR="00FD553D">
              <w:t>to appoint counsel</w:t>
            </w:r>
            <w:r>
              <w:t xml:space="preserve"> is dismissed.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="00824412" w:rsidRPr="006E7BAE">
              <w:t xml:space="preserve"> </w:t>
            </w:r>
            <w:r w:rsidR="00824412">
              <w:t>Court of Appeal for British Columbia (Vancouver)</w:t>
            </w:r>
            <w:r w:rsidR="00824412" w:rsidRPr="006E7BAE">
              <w:t xml:space="preserve">, Number </w:t>
            </w:r>
            <w:r w:rsidR="00824412">
              <w:t>CA037842, 2012 BCCA 353</w:t>
            </w:r>
            <w:r w:rsidR="00824412" w:rsidRPr="006E7BAE">
              <w:t xml:space="preserve">, dated </w:t>
            </w:r>
            <w:r w:rsidR="00824412">
              <w:t>August 22, 2012</w:t>
            </w:r>
            <w:r>
              <w:t>,</w:t>
            </w:r>
            <w:r w:rsidR="00824412" w:rsidRPr="006E7BAE">
              <w:t xml:space="preserve"> is </w:t>
            </w:r>
            <w:r>
              <w:t>dismissed</w:t>
            </w:r>
            <w:r w:rsidR="00824412"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0051E9" w:rsidP="00FD553D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 xml:space="preserve">La </w:t>
            </w:r>
            <w:r>
              <w:rPr>
                <w:lang w:val="fr-CA"/>
              </w:rPr>
              <w:t>requ</w:t>
            </w:r>
            <w:r>
              <w:rPr>
                <w:rFonts w:cs="Times New Roman"/>
                <w:lang w:val="fr-CA"/>
              </w:rPr>
              <w:t>ê</w:t>
            </w:r>
            <w:r>
              <w:rPr>
                <w:lang w:val="fr-CA"/>
              </w:rPr>
              <w:t>te en prorogation du d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lai de signification et de d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p</w:t>
            </w:r>
            <w:r>
              <w:rPr>
                <w:rFonts w:cs="Times New Roman"/>
                <w:lang w:val="fr-CA"/>
              </w:rPr>
              <w:t>ô</w:t>
            </w:r>
            <w:r>
              <w:rPr>
                <w:lang w:val="fr-CA"/>
              </w:rPr>
              <w:t xml:space="preserve">t de la demande d’autorisation d’appel est accueillie. La requête </w:t>
            </w:r>
            <w:r w:rsidR="00FD553D">
              <w:rPr>
                <w:lang w:val="fr-CA"/>
              </w:rPr>
              <w:t xml:space="preserve">en nomination d’un procureur </w:t>
            </w:r>
            <w:r w:rsidRPr="000051E9">
              <w:rPr>
                <w:rStyle w:val="hps"/>
                <w:rFonts w:cs="Times New Roman"/>
                <w:color w:val="222222"/>
                <w:szCs w:val="24"/>
                <w:lang w:val="fr-FR"/>
              </w:rPr>
              <w:t>est rejeté</w:t>
            </w:r>
            <w:r w:rsidR="00FD553D">
              <w:rPr>
                <w:rStyle w:val="hps"/>
                <w:rFonts w:cs="Times New Roman"/>
                <w:color w:val="222222"/>
                <w:szCs w:val="24"/>
                <w:lang w:val="fr-FR"/>
              </w:rPr>
              <w:t>e</w:t>
            </w:r>
            <w:r>
              <w:rPr>
                <w:rStyle w:val="hps"/>
                <w:rFonts w:ascii="Arial" w:hAnsi="Arial" w:cs="Arial"/>
                <w:color w:val="222222"/>
                <w:sz w:val="22"/>
                <w:lang w:val="fr-FR"/>
              </w:rPr>
              <w:t xml:space="preserve">. 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0051E9">
              <w:rPr>
                <w:lang w:val="fr-CA"/>
              </w:rPr>
              <w:t>Cour d’appel de la Colombie-Britannique (Vancouver)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0051E9">
              <w:rPr>
                <w:lang w:val="fr-CA"/>
              </w:rPr>
              <w:t>CA037842, 2012 BCCA 353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0051E9">
              <w:rPr>
                <w:lang w:val="fr-CA"/>
              </w:rPr>
              <w:t>22 août 2012</w:t>
            </w:r>
            <w:r>
              <w:rPr>
                <w:lang w:val="fr-CA"/>
              </w:rPr>
              <w:t>, est rejetée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:rsidR="009F436C" w:rsidRPr="00D83B8C" w:rsidRDefault="003A37CF" w:rsidP="000051E9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2423E3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2423E3" w:rsidRPr="00417FB7">
      <w:rPr>
        <w:szCs w:val="24"/>
      </w:rPr>
      <w:fldChar w:fldCharType="separate"/>
    </w:r>
    <w:r w:rsidR="00FD553D">
      <w:rPr>
        <w:noProof/>
        <w:szCs w:val="24"/>
      </w:rPr>
      <w:t>2</w:t>
    </w:r>
    <w:r w:rsidR="002423E3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36153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1E9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22C01"/>
    <w:rsid w:val="002423E3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C6B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408F8"/>
    <w:rsid w:val="00B5078E"/>
    <w:rsid w:val="00B51DE9"/>
    <w:rsid w:val="00B60EDC"/>
    <w:rsid w:val="00BC39BE"/>
    <w:rsid w:val="00BD4E4C"/>
    <w:rsid w:val="00BF7644"/>
    <w:rsid w:val="00C1285B"/>
    <w:rsid w:val="00C173B0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D553D"/>
    <w:rsid w:val="00FF2A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005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891</Characters>
  <Application>Microsoft Office Word</Application>
  <DocSecurity>0</DocSecurity>
  <Lines>7</Lines>
  <Paragraphs>2</Paragraphs>
  <ScaleCrop>false</ScaleCrop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2015-04-15T14:02:00Z</dcterms:created>
  <dcterms:modified xsi:type="dcterms:W3CDTF">2015-04-20T20:01:00Z</dcterms:modified>
</cp:coreProperties>
</file>