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36396</w:t>
      </w:r>
      <w:r w:rsidR="0016666F" w:rsidRPr="006E7BAE">
        <w:t>     </w:t>
      </w:r>
    </w:p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0E69BA" w:rsidP="008262A3">
            <w:r>
              <w:t>September 10</w:t>
            </w:r>
            <w:r w:rsidR="00EF707C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0E69BA" w:rsidP="00816B78">
            <w:pPr>
              <w:rPr>
                <w:lang w:val="en-US"/>
              </w:rPr>
            </w:pPr>
            <w:r>
              <w:t>Le 10 septembre</w:t>
            </w:r>
            <w:r w:rsidR="00EF707C"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56720" w:rsidRDefault="00C2612E" w:rsidP="008262A3">
            <w:pPr>
              <w:rPr>
                <w:sz w:val="20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256720" w:rsidRDefault="00E12A51" w:rsidP="00816B78">
            <w:pPr>
              <w:rPr>
                <w:sz w:val="20"/>
                <w:lang w:val="en-US"/>
              </w:rPr>
            </w:pPr>
          </w:p>
        </w:tc>
      </w:tr>
      <w:tr w:rsidR="00417FB7" w:rsidRPr="00536714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Wagner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0E69BA">
              <w:rPr>
                <w:lang w:val="fr-CA"/>
              </w:rPr>
              <w:t>La juge en chef McLachlin et les juges Wagner et Gascon</w:t>
            </w:r>
          </w:p>
        </w:tc>
      </w:tr>
      <w:tr w:rsidR="00C2612E" w:rsidRPr="00536714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56720" w:rsidRDefault="00C2612E" w:rsidP="008262A3">
            <w:pPr>
              <w:rPr>
                <w:sz w:val="20"/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0E69BA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256720" w:rsidRDefault="00C2612E" w:rsidP="00382FEC">
            <w:pPr>
              <w:rPr>
                <w:sz w:val="20"/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A4450F" w:rsidRPr="00256720" w:rsidRDefault="000E69BA">
            <w:pPr>
              <w:pStyle w:val="SCCLsocPrefix"/>
              <w:rPr>
                <w:sz w:val="20"/>
              </w:rPr>
            </w:pPr>
            <w:r>
              <w:t>BETWEEN:</w:t>
            </w:r>
            <w:r>
              <w:br/>
            </w:r>
          </w:p>
          <w:p w:rsidR="00A4450F" w:rsidRPr="00256720" w:rsidRDefault="000E69BA">
            <w:pPr>
              <w:pStyle w:val="SCCLsocParty"/>
              <w:rPr>
                <w:sz w:val="20"/>
              </w:rPr>
            </w:pPr>
            <w:r>
              <w:t>Christopher Michael Staetter</w:t>
            </w:r>
            <w:r>
              <w:br/>
            </w:r>
          </w:p>
          <w:p w:rsidR="00A4450F" w:rsidRPr="00256720" w:rsidRDefault="000E69BA">
            <w:pPr>
              <w:pStyle w:val="SCCLsocPartyRole"/>
              <w:rPr>
                <w:sz w:val="20"/>
              </w:rPr>
            </w:pPr>
            <w:r>
              <w:t>Applicant</w:t>
            </w:r>
            <w:r>
              <w:br/>
            </w:r>
          </w:p>
          <w:p w:rsidR="00A4450F" w:rsidRPr="00256720" w:rsidRDefault="000E69BA">
            <w:pPr>
              <w:pStyle w:val="SCCLsocVersus"/>
              <w:rPr>
                <w:sz w:val="20"/>
              </w:rPr>
            </w:pPr>
            <w:r>
              <w:t>- and -</w:t>
            </w:r>
            <w:r>
              <w:br/>
            </w:r>
          </w:p>
          <w:p w:rsidR="00A4450F" w:rsidRPr="00256720" w:rsidRDefault="000E69BA">
            <w:pPr>
              <w:pStyle w:val="SCCLsocParty"/>
              <w:rPr>
                <w:sz w:val="20"/>
              </w:rPr>
            </w:pPr>
            <w:r>
              <w:t>Director of Adult Forensic Psychiatric Services and Attorney General of British Columbia</w:t>
            </w:r>
            <w:r>
              <w:br/>
            </w:r>
          </w:p>
          <w:p w:rsidR="00A4450F" w:rsidRDefault="000E69B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A4450F" w:rsidRPr="00256720" w:rsidRDefault="000E69BA">
            <w:pPr>
              <w:pStyle w:val="SCCLsocPrefix"/>
              <w:rPr>
                <w:sz w:val="20"/>
                <w:lang w:val="fr-CA"/>
              </w:rPr>
            </w:pPr>
            <w:r w:rsidRPr="000E69BA">
              <w:rPr>
                <w:lang w:val="fr-CA"/>
              </w:rPr>
              <w:t>ENTRE :</w:t>
            </w:r>
            <w:r w:rsidRPr="000E69BA">
              <w:rPr>
                <w:lang w:val="fr-CA"/>
              </w:rPr>
              <w:br/>
            </w:r>
          </w:p>
          <w:p w:rsidR="00A4450F" w:rsidRPr="00256720" w:rsidRDefault="000E69BA">
            <w:pPr>
              <w:pStyle w:val="SCCLsocParty"/>
              <w:rPr>
                <w:sz w:val="20"/>
                <w:lang w:val="fr-CA"/>
              </w:rPr>
            </w:pPr>
            <w:r w:rsidRPr="000E69BA">
              <w:rPr>
                <w:lang w:val="fr-CA"/>
              </w:rPr>
              <w:t>Christopher Michael Staetter</w:t>
            </w:r>
            <w:r w:rsidRPr="000E69BA">
              <w:rPr>
                <w:lang w:val="fr-CA"/>
              </w:rPr>
              <w:br/>
            </w:r>
          </w:p>
          <w:p w:rsidR="00A4450F" w:rsidRPr="00256720" w:rsidRDefault="000E69BA">
            <w:pPr>
              <w:pStyle w:val="SCCLsocPartyRole"/>
              <w:rPr>
                <w:sz w:val="20"/>
                <w:lang w:val="fr-CA"/>
              </w:rPr>
            </w:pPr>
            <w:r>
              <w:rPr>
                <w:lang w:val="fr-CA"/>
              </w:rPr>
              <w:t>Demandeur</w:t>
            </w:r>
            <w:r w:rsidRPr="000E69BA">
              <w:rPr>
                <w:lang w:val="fr-CA"/>
              </w:rPr>
              <w:br/>
            </w:r>
          </w:p>
          <w:p w:rsidR="00A4450F" w:rsidRPr="00256720" w:rsidRDefault="000E69BA">
            <w:pPr>
              <w:pStyle w:val="SCCLsocVersus"/>
              <w:rPr>
                <w:sz w:val="20"/>
                <w:lang w:val="fr-CA"/>
              </w:rPr>
            </w:pPr>
            <w:r w:rsidRPr="000E69BA">
              <w:rPr>
                <w:lang w:val="fr-CA"/>
              </w:rPr>
              <w:t>- et -</w:t>
            </w:r>
            <w:r w:rsidRPr="000E69BA">
              <w:rPr>
                <w:lang w:val="fr-CA"/>
              </w:rPr>
              <w:br/>
            </w:r>
          </w:p>
          <w:p w:rsidR="00A4450F" w:rsidRPr="00256720" w:rsidRDefault="00C85D20">
            <w:pPr>
              <w:pStyle w:val="SCCLsocParty"/>
              <w:rPr>
                <w:sz w:val="20"/>
                <w:lang w:val="fr-CA"/>
              </w:rPr>
            </w:pPr>
            <w:r w:rsidRPr="00C85D20">
              <w:rPr>
                <w:rStyle w:val="hps"/>
                <w:rFonts w:cs="Times New Roman"/>
                <w:color w:val="222222"/>
                <w:szCs w:val="24"/>
                <w:lang w:val="fr-FR"/>
              </w:rPr>
              <w:t xml:space="preserve">Directeur des </w:t>
            </w:r>
            <w:r>
              <w:rPr>
                <w:rStyle w:val="hps"/>
                <w:rFonts w:cs="Times New Roman"/>
                <w:color w:val="222222"/>
                <w:szCs w:val="24"/>
                <w:lang w:val="fr-FR"/>
              </w:rPr>
              <w:t>services psychiatrique médico-légal pour adulte</w:t>
            </w:r>
            <w:r w:rsidRPr="00C85D20">
              <w:rPr>
                <w:rStyle w:val="hps"/>
                <w:rFonts w:cs="Times New Roman"/>
                <w:color w:val="222222"/>
                <w:szCs w:val="24"/>
                <w:lang w:val="fr-FR"/>
              </w:rPr>
              <w:t>s</w:t>
            </w:r>
            <w:r>
              <w:rPr>
                <w:lang w:val="fr-CA"/>
              </w:rPr>
              <w:t xml:space="preserve"> </w:t>
            </w:r>
            <w:r w:rsidR="000E69BA">
              <w:rPr>
                <w:lang w:val="fr-CA"/>
              </w:rPr>
              <w:t>et</w:t>
            </w:r>
            <w:r w:rsidR="000E69BA" w:rsidRPr="000E69BA">
              <w:rPr>
                <w:lang w:val="fr-CA"/>
              </w:rPr>
              <w:t xml:space="preserve"> Pr</w:t>
            </w:r>
            <w:r w:rsidR="007F3CF4">
              <w:rPr>
                <w:lang w:val="fr-CA"/>
              </w:rPr>
              <w:t xml:space="preserve">ocureur général de la </w:t>
            </w:r>
            <w:r w:rsidR="00256720">
              <w:rPr>
                <w:lang w:val="fr-CA"/>
              </w:rPr>
              <w:t>Colombie-B</w:t>
            </w:r>
            <w:r w:rsidR="00256720" w:rsidRPr="000E69BA">
              <w:rPr>
                <w:lang w:val="fr-CA"/>
              </w:rPr>
              <w:t>ritannique</w:t>
            </w:r>
            <w:r w:rsidR="000E69BA" w:rsidRPr="000E69BA">
              <w:rPr>
                <w:lang w:val="fr-CA"/>
              </w:rPr>
              <w:br/>
            </w:r>
          </w:p>
          <w:p w:rsidR="00A4450F" w:rsidRDefault="000E69BA">
            <w:pPr>
              <w:pStyle w:val="SCCLsocPartyRole"/>
            </w:pPr>
            <w:r>
              <w:t>Intimés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256720" w:rsidRDefault="00824412" w:rsidP="00375294">
            <w:pPr>
              <w:rPr>
                <w:sz w:val="20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256720" w:rsidRDefault="00824412" w:rsidP="00B408F8">
            <w:pPr>
              <w:rPr>
                <w:sz w:val="20"/>
                <w:lang w:val="en-US"/>
              </w:rPr>
            </w:pPr>
          </w:p>
        </w:tc>
      </w:tr>
      <w:tr w:rsidR="00824412" w:rsidRPr="00536714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256720" w:rsidRDefault="00824412" w:rsidP="00417FB7">
            <w:pPr>
              <w:jc w:val="center"/>
              <w:rPr>
                <w:sz w:val="20"/>
              </w:rPr>
            </w:pPr>
          </w:p>
          <w:p w:rsidR="00824412" w:rsidRPr="006E7BAE" w:rsidRDefault="000E69BA" w:rsidP="00256720">
            <w:pPr>
              <w:jc w:val="both"/>
            </w:pPr>
            <w:r>
              <w:t xml:space="preserve">The motion </w:t>
            </w:r>
            <w:r w:rsidR="007F3CF4">
              <w:t xml:space="preserve">of the </w:t>
            </w:r>
            <w:r w:rsidR="00256720">
              <w:t>r</w:t>
            </w:r>
            <w:r w:rsidR="007F3CF4">
              <w:t xml:space="preserve">espondent, the Attorney General of British Columbia, </w:t>
            </w:r>
            <w:r>
              <w:t xml:space="preserve">for an extension of time to serve and file </w:t>
            </w:r>
            <w:r w:rsidR="007F3CF4">
              <w:t xml:space="preserve">the response to </w:t>
            </w:r>
            <w:r>
              <w:t xml:space="preserve">the application for leave to appeal is granted. </w:t>
            </w:r>
            <w:r w:rsidR="00C85D20">
              <w:t xml:space="preserve">All other motions are dismissed.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824412">
              <w:t>CA042322</w:t>
            </w:r>
            <w:r w:rsidR="00824412" w:rsidRPr="006E7BAE">
              <w:t>,</w:t>
            </w:r>
            <w:r w:rsidR="007F3CF4">
              <w:t xml:space="preserve"> 2015 BCCA 63,</w:t>
            </w:r>
            <w:r w:rsidR="00824412" w:rsidRPr="006E7BAE">
              <w:t xml:space="preserve"> dated </w:t>
            </w:r>
            <w:r w:rsidR="00824412">
              <w:t>February 19, 2015</w:t>
            </w:r>
            <w:r w:rsidR="00C85D20">
              <w:t>,</w:t>
            </w:r>
            <w:r w:rsidR="00824412" w:rsidRPr="006E7BAE">
              <w:t xml:space="preserve"> is </w:t>
            </w:r>
            <w:r>
              <w:t>dismissed.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256720" w:rsidRDefault="00824412" w:rsidP="00417FB7">
            <w:pPr>
              <w:jc w:val="center"/>
              <w:rPr>
                <w:sz w:val="20"/>
                <w:lang w:val="fr-CA"/>
              </w:rPr>
            </w:pPr>
          </w:p>
          <w:p w:rsidR="00824412" w:rsidRPr="006E7BAE" w:rsidRDefault="00C85D20" w:rsidP="0025672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La </w:t>
            </w:r>
            <w:r>
              <w:rPr>
                <w:lang w:val="fr-CA"/>
              </w:rPr>
              <w:t>requ</w:t>
            </w:r>
            <w:r>
              <w:rPr>
                <w:rFonts w:cs="Times New Roman"/>
                <w:lang w:val="fr-CA"/>
              </w:rPr>
              <w:t>ê</w:t>
            </w:r>
            <w:r>
              <w:rPr>
                <w:lang w:val="fr-CA"/>
              </w:rPr>
              <w:t xml:space="preserve">te </w:t>
            </w:r>
            <w:r w:rsidR="007F3CF4">
              <w:rPr>
                <w:lang w:val="fr-CA"/>
              </w:rPr>
              <w:t>de l’intim</w:t>
            </w:r>
            <w:r w:rsidR="007F3CF4">
              <w:rPr>
                <w:rFonts w:cs="Times New Roman"/>
                <w:lang w:val="fr-CA"/>
              </w:rPr>
              <w:t>é</w:t>
            </w:r>
            <w:r w:rsidR="007F3CF4">
              <w:rPr>
                <w:lang w:val="fr-CA"/>
              </w:rPr>
              <w:t>, le Procureur g</w:t>
            </w:r>
            <w:r w:rsidR="007F3CF4">
              <w:rPr>
                <w:rFonts w:cs="Times New Roman"/>
                <w:lang w:val="fr-CA"/>
              </w:rPr>
              <w:t>é</w:t>
            </w:r>
            <w:r w:rsidR="007F3CF4">
              <w:rPr>
                <w:lang w:val="fr-CA"/>
              </w:rPr>
              <w:t>n</w:t>
            </w:r>
            <w:r w:rsidR="007F3CF4">
              <w:rPr>
                <w:rFonts w:cs="Times New Roman"/>
                <w:lang w:val="fr-CA"/>
              </w:rPr>
              <w:t>é</w:t>
            </w:r>
            <w:r w:rsidR="007F3CF4">
              <w:rPr>
                <w:lang w:val="fr-CA"/>
              </w:rPr>
              <w:t xml:space="preserve">ral de la </w:t>
            </w:r>
            <w:r w:rsidR="00256720">
              <w:rPr>
                <w:lang w:val="fr-CA"/>
              </w:rPr>
              <w:t>Colombie-Britannique</w:t>
            </w:r>
            <w:r w:rsidR="007F3CF4">
              <w:rPr>
                <w:lang w:val="fr-CA"/>
              </w:rPr>
              <w:t xml:space="preserve">, </w:t>
            </w:r>
            <w:r>
              <w:rPr>
                <w:lang w:val="fr-CA"/>
              </w:rPr>
              <w:t>en prorogation du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lai de signification et de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</w:t>
            </w:r>
            <w:r>
              <w:rPr>
                <w:rFonts w:cs="Times New Roman"/>
                <w:lang w:val="fr-CA"/>
              </w:rPr>
              <w:t>ô</w:t>
            </w:r>
            <w:r>
              <w:rPr>
                <w:lang w:val="fr-CA"/>
              </w:rPr>
              <w:t xml:space="preserve">t de la </w:t>
            </w:r>
            <w:r w:rsidR="007F3CF4">
              <w:rPr>
                <w:lang w:val="fr-CA"/>
              </w:rPr>
              <w:t>r</w:t>
            </w:r>
            <w:r w:rsidR="007F3CF4">
              <w:rPr>
                <w:rFonts w:cs="Times New Roman"/>
                <w:lang w:val="fr-CA"/>
              </w:rPr>
              <w:t>é</w:t>
            </w:r>
            <w:r w:rsidR="007F3CF4">
              <w:rPr>
                <w:lang w:val="fr-CA"/>
              </w:rPr>
              <w:t xml:space="preserve">ponse </w:t>
            </w:r>
            <w:r w:rsidR="007F3CF4">
              <w:rPr>
                <w:rFonts w:cs="Times New Roman"/>
                <w:lang w:val="fr-CA"/>
              </w:rPr>
              <w:t>à</w:t>
            </w:r>
            <w:r w:rsidR="007F3CF4">
              <w:rPr>
                <w:lang w:val="fr-CA"/>
              </w:rPr>
              <w:t xml:space="preserve"> la </w:t>
            </w:r>
            <w:r>
              <w:rPr>
                <w:lang w:val="fr-CA"/>
              </w:rPr>
              <w:t xml:space="preserve">demande d’autorisation d’appel est accueillie. </w:t>
            </w:r>
            <w:bookmarkStart w:id="1" w:name="_GoBack"/>
            <w:bookmarkEnd w:id="1"/>
            <w:r>
              <w:rPr>
                <w:lang w:val="fr-CA"/>
              </w:rPr>
              <w:t>Toutes autres requ</w:t>
            </w:r>
            <w:r>
              <w:rPr>
                <w:rFonts w:cs="Times New Roman"/>
                <w:lang w:val="fr-CA"/>
              </w:rPr>
              <w:t>ê</w:t>
            </w:r>
            <w:r>
              <w:rPr>
                <w:lang w:val="fr-CA"/>
              </w:rPr>
              <w:t>tes sont 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 xml:space="preserve">es.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E69BA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0E69BA">
              <w:rPr>
                <w:lang w:val="fr-CA"/>
              </w:rPr>
              <w:t>CA042322</w:t>
            </w:r>
            <w:r w:rsidR="00824412" w:rsidRPr="006E7BAE">
              <w:rPr>
                <w:lang w:val="fr-CA"/>
              </w:rPr>
              <w:t xml:space="preserve">, </w:t>
            </w:r>
            <w:r w:rsidR="007F3CF4">
              <w:rPr>
                <w:lang w:val="fr-CA"/>
              </w:rPr>
              <w:t xml:space="preserve">2015 BCCA 63,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E69BA">
              <w:rPr>
                <w:lang w:val="fr-CA"/>
              </w:rPr>
              <w:t>19 février 2015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536714" w:rsidP="00417FB7">
      <w:pPr>
        <w:jc w:val="center"/>
        <w:rPr>
          <w:lang w:val="fr-CA"/>
        </w:rPr>
      </w:pPr>
      <w:r>
        <w:rPr>
          <w:lang w:val="fr-CA"/>
        </w:rPr>
        <w:t>J.S.C.C.</w:t>
      </w:r>
    </w:p>
    <w:p w:rsidR="009F436C" w:rsidRPr="00D83B8C" w:rsidRDefault="00536714" w:rsidP="000E69BA">
      <w:pPr>
        <w:jc w:val="center"/>
        <w:rPr>
          <w:lang w:val="fr-CA"/>
        </w:rPr>
      </w:pPr>
      <w:r>
        <w:rPr>
          <w:lang w:val="fr-CA"/>
        </w:rPr>
        <w:t>J.C.S.C.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03622D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03622D" w:rsidRPr="00417FB7">
      <w:rPr>
        <w:szCs w:val="24"/>
      </w:rPr>
      <w:fldChar w:fldCharType="separate"/>
    </w:r>
    <w:r w:rsidR="00256720">
      <w:rPr>
        <w:noProof/>
        <w:szCs w:val="24"/>
      </w:rPr>
      <w:t>2</w:t>
    </w:r>
    <w:r w:rsidR="0003622D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36396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622D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0E69BA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720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B474E"/>
    <w:rsid w:val="004D4658"/>
    <w:rsid w:val="00536714"/>
    <w:rsid w:val="0055345D"/>
    <w:rsid w:val="00563E2C"/>
    <w:rsid w:val="00587869"/>
    <w:rsid w:val="00612913"/>
    <w:rsid w:val="00614908"/>
    <w:rsid w:val="00650109"/>
    <w:rsid w:val="006E2415"/>
    <w:rsid w:val="006E7BAE"/>
    <w:rsid w:val="00701109"/>
    <w:rsid w:val="007372EA"/>
    <w:rsid w:val="00745F32"/>
    <w:rsid w:val="00777612"/>
    <w:rsid w:val="0079129C"/>
    <w:rsid w:val="007917FE"/>
    <w:rsid w:val="007A54CC"/>
    <w:rsid w:val="007C5DE8"/>
    <w:rsid w:val="007E68C7"/>
    <w:rsid w:val="007F3CF4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4450F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85D20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33575"/>
    <w:rsid w:val="00F40FBF"/>
    <w:rsid w:val="00F47372"/>
    <w:rsid w:val="00F5034C"/>
    <w:rsid w:val="00F70D4F"/>
    <w:rsid w:val="00F747B4"/>
    <w:rsid w:val="00F76E97"/>
    <w:rsid w:val="00F84E07"/>
    <w:rsid w:val="00F874E6"/>
    <w:rsid w:val="00FA4D60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85D20"/>
  </w:style>
  <w:style w:type="character" w:customStyle="1" w:styleId="hps">
    <w:name w:val="hps"/>
    <w:basedOn w:val="DefaultParagraphFont"/>
    <w:rsid w:val="00C85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2015-09-09T13:26:00Z</dcterms:created>
  <dcterms:modified xsi:type="dcterms:W3CDTF">2015-09-09T18:06:00Z</dcterms:modified>
</cp:coreProperties>
</file>