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36476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487AF8" w:rsidP="008262A3">
            <w:r>
              <w:t>October 8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BB43F1">
            <w:pPr>
              <w:rPr>
                <w:lang w:val="en-US"/>
              </w:rPr>
            </w:pPr>
            <w:r>
              <w:t xml:space="preserve">Le </w:t>
            </w:r>
            <w:r w:rsidR="00487AF8">
              <w:t xml:space="preserve">8 </w:t>
            </w:r>
            <w:r w:rsidR="00BB43F1">
              <w:t>o</w:t>
            </w:r>
            <w:r w:rsidR="00487AF8">
              <w:t>ctober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F656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762B2">
              <w:rPr>
                <w:lang w:val="fr-CA"/>
              </w:rPr>
              <w:t>Les juges Cromwell, Wagner et Côté</w:t>
            </w:r>
          </w:p>
        </w:tc>
      </w:tr>
      <w:tr w:rsidR="00C2612E" w:rsidRPr="009F656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762B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762B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FB4E91" w:rsidRDefault="00524B29">
            <w:pPr>
              <w:pStyle w:val="SCCLsocPrefix"/>
            </w:pPr>
            <w:r>
              <w:t>BETWEEN:</w:t>
            </w:r>
            <w:r>
              <w:br/>
            </w:r>
          </w:p>
          <w:p w:rsidR="00FB4E91" w:rsidRDefault="00524B29">
            <w:pPr>
              <w:pStyle w:val="SCCLsocParty"/>
            </w:pPr>
            <w:r>
              <w:t>Best Theratronics Ltd.</w:t>
            </w:r>
            <w:r>
              <w:br/>
            </w:r>
          </w:p>
          <w:p w:rsidR="00FB4E91" w:rsidRDefault="00524B29">
            <w:pPr>
              <w:pStyle w:val="SCCLsocPartyRole"/>
            </w:pPr>
            <w:r>
              <w:t>Applicant</w:t>
            </w:r>
            <w:r>
              <w:br/>
            </w:r>
          </w:p>
          <w:p w:rsidR="00FB4E91" w:rsidRDefault="00524B29">
            <w:pPr>
              <w:pStyle w:val="SCCLsocVersus"/>
            </w:pPr>
            <w:r>
              <w:t>- and -</w:t>
            </w:r>
            <w:r>
              <w:br/>
            </w:r>
          </w:p>
          <w:p w:rsidR="00FB4E91" w:rsidRDefault="00524B29">
            <w:pPr>
              <w:pStyle w:val="SCCLsocParty"/>
            </w:pPr>
            <w:r>
              <w:t>Clifford Douglas Beatty</w:t>
            </w:r>
            <w:r>
              <w:br/>
            </w:r>
          </w:p>
          <w:p w:rsidR="00FB4E91" w:rsidRDefault="00524B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FB4E91" w:rsidRPr="00CF4524" w:rsidRDefault="00524B29">
            <w:pPr>
              <w:pStyle w:val="SCCLsocPrefix"/>
              <w:rPr>
                <w:lang w:val="en-US"/>
              </w:rPr>
            </w:pPr>
            <w:r w:rsidRPr="00CF4524">
              <w:rPr>
                <w:lang w:val="en-US"/>
              </w:rPr>
              <w:t>ENTRE :</w:t>
            </w:r>
            <w:r w:rsidRPr="00CF4524">
              <w:rPr>
                <w:lang w:val="en-US"/>
              </w:rPr>
              <w:br/>
            </w:r>
          </w:p>
          <w:p w:rsidR="00FB4E91" w:rsidRPr="00CF4524" w:rsidRDefault="00524B29">
            <w:pPr>
              <w:pStyle w:val="SCCLsocParty"/>
              <w:rPr>
                <w:lang w:val="en-US"/>
              </w:rPr>
            </w:pPr>
            <w:r w:rsidRPr="00CF4524">
              <w:rPr>
                <w:lang w:val="en-US"/>
              </w:rPr>
              <w:t>Best Theratronics Ltd.</w:t>
            </w:r>
            <w:r w:rsidRPr="00CF4524">
              <w:rPr>
                <w:lang w:val="en-US"/>
              </w:rPr>
              <w:br/>
            </w:r>
          </w:p>
          <w:p w:rsidR="00FB4E91" w:rsidRPr="00CF4524" w:rsidRDefault="00524B29">
            <w:pPr>
              <w:pStyle w:val="SCCLsocPartyRole"/>
              <w:rPr>
                <w:lang w:val="en-US"/>
              </w:rPr>
            </w:pPr>
            <w:r w:rsidRPr="00CF4524">
              <w:rPr>
                <w:lang w:val="en-US"/>
              </w:rPr>
              <w:t>Demanderesse</w:t>
            </w:r>
            <w:r w:rsidRPr="00CF4524">
              <w:rPr>
                <w:lang w:val="en-US"/>
              </w:rPr>
              <w:br/>
            </w:r>
          </w:p>
          <w:p w:rsidR="00FB4E91" w:rsidRPr="005762B2" w:rsidRDefault="00524B29">
            <w:pPr>
              <w:pStyle w:val="SCCLsocVersus"/>
              <w:rPr>
                <w:lang w:val="fr-CA"/>
              </w:rPr>
            </w:pPr>
            <w:r w:rsidRPr="005762B2">
              <w:rPr>
                <w:lang w:val="fr-CA"/>
              </w:rPr>
              <w:t>- et -</w:t>
            </w:r>
            <w:r w:rsidRPr="005762B2">
              <w:rPr>
                <w:lang w:val="fr-CA"/>
              </w:rPr>
              <w:br/>
            </w:r>
          </w:p>
          <w:p w:rsidR="00FB4E91" w:rsidRDefault="00524B29">
            <w:pPr>
              <w:pStyle w:val="SCCLsocParty"/>
            </w:pPr>
            <w:r>
              <w:t>Clifford Douglas Beatty</w:t>
            </w:r>
            <w:r>
              <w:br/>
            </w:r>
          </w:p>
          <w:p w:rsidR="00FB4E91" w:rsidRDefault="00524B29" w:rsidP="00524B29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F656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24B2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C59117, 2015 ONCA 247</w:t>
            </w:r>
            <w:r w:rsidRPr="006E7BAE">
              <w:t xml:space="preserve">, dated </w:t>
            </w:r>
            <w:r>
              <w:t>April 14, 2015</w:t>
            </w:r>
            <w:r w:rsidR="00524B29">
              <w:t>,</w:t>
            </w:r>
            <w:r w:rsidRPr="006E7BAE">
              <w:t xml:space="preserve"> is</w:t>
            </w:r>
            <w:r w:rsidR="005762B2">
              <w:t xml:space="preserve"> </w:t>
            </w:r>
            <w:r w:rsidR="00524B29">
              <w:t xml:space="preserve">dismissed </w:t>
            </w:r>
            <w:r w:rsidR="005762B2">
              <w:t xml:space="preserve">with costs in accordance </w:t>
            </w:r>
            <w:r w:rsidR="005762B2" w:rsidRPr="003C3BE7">
              <w:t>with the Tariff of fees and di</w:t>
            </w:r>
            <w:r w:rsidR="00524B29" w:rsidRPr="003C3BE7">
              <w:t>sbursements set out in Schedule </w:t>
            </w:r>
            <w:r w:rsidR="005762B2" w:rsidRPr="003C3BE7">
              <w:t xml:space="preserve">B of the </w:t>
            </w:r>
            <w:r w:rsidR="005762B2" w:rsidRPr="003C3BE7">
              <w:rPr>
                <w:i/>
              </w:rPr>
              <w:t>Rules of the Supreme Court of Canada</w:t>
            </w:r>
            <w:r w:rsidRPr="003C3BE7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3C3BE7" w:rsidRPr="003C3BE7" w:rsidRDefault="00824412" w:rsidP="003C3BE7">
            <w:pPr>
              <w:jc w:val="both"/>
              <w:rPr>
                <w:lang w:val="fr-FR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762B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762B2">
              <w:rPr>
                <w:lang w:val="fr-CA"/>
              </w:rPr>
              <w:t>C59117, 2015 ONCA 247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762B2">
              <w:rPr>
                <w:lang w:val="fr-CA"/>
              </w:rPr>
              <w:t>14 avril 2015</w:t>
            </w:r>
            <w:r w:rsidRPr="006E7BAE">
              <w:rPr>
                <w:lang w:val="fr-CA"/>
              </w:rPr>
              <w:t xml:space="preserve">, est </w:t>
            </w:r>
            <w:r w:rsidR="00524B29">
              <w:rPr>
                <w:lang w:val="fr-CA"/>
              </w:rPr>
              <w:t xml:space="preserve">rejetée avec dépens conformément </w:t>
            </w:r>
            <w:r w:rsidR="003C3BE7" w:rsidRPr="009F6568">
              <w:rPr>
                <w:rStyle w:val="Emphasis"/>
                <w:i w:val="0"/>
                <w:lang w:val="fr-CA"/>
              </w:rPr>
              <w:t>a</w:t>
            </w:r>
            <w:r w:rsidR="009F6568">
              <w:rPr>
                <w:rStyle w:val="Emphasis"/>
                <w:i w:val="0"/>
                <w:lang w:val="fr-FR"/>
              </w:rPr>
              <w:t>u</w:t>
            </w:r>
            <w:r w:rsidR="003C3BE7" w:rsidRPr="003C3BE7">
              <w:rPr>
                <w:lang w:val="fr-FR"/>
              </w:rPr>
              <w:t xml:space="preserve"> tarif des honoraires et débours </w:t>
            </w:r>
            <w:r w:rsidR="009F6568">
              <w:rPr>
                <w:lang w:val="fr-FR"/>
              </w:rPr>
              <w:t>établi à l’A</w:t>
            </w:r>
            <w:bookmarkStart w:id="1" w:name="_GoBack"/>
            <w:bookmarkEnd w:id="1"/>
            <w:r w:rsidR="003C3BE7" w:rsidRPr="003C3BE7">
              <w:rPr>
                <w:lang w:val="fr-FR"/>
              </w:rPr>
              <w:t xml:space="preserve">nnexe B des </w:t>
            </w:r>
            <w:r w:rsidR="003C3BE7" w:rsidRPr="00BB43F1">
              <w:rPr>
                <w:i/>
                <w:lang w:val="fr-FR"/>
              </w:rPr>
              <w:t>Règles de la Cour suprême du Canada</w:t>
            </w:r>
            <w:r w:rsidR="003C3BE7" w:rsidRPr="003C3BE7">
              <w:rPr>
                <w:lang w:val="fr-FR"/>
              </w:rPr>
              <w:t>.</w:t>
            </w:r>
          </w:p>
          <w:p w:rsidR="00824412" w:rsidRPr="003C3BE7" w:rsidRDefault="00824412" w:rsidP="00524B29">
            <w:pPr>
              <w:jc w:val="both"/>
              <w:rPr>
                <w:lang w:val="fr-FR"/>
              </w:rPr>
            </w:pP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24B2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24B2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24B2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36476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3BE7"/>
    <w:rsid w:val="00414694"/>
    <w:rsid w:val="00417FB7"/>
    <w:rsid w:val="0042783F"/>
    <w:rsid w:val="00487AF8"/>
    <w:rsid w:val="004943CF"/>
    <w:rsid w:val="004956DA"/>
    <w:rsid w:val="004D4658"/>
    <w:rsid w:val="00524B29"/>
    <w:rsid w:val="0055345D"/>
    <w:rsid w:val="00563E2C"/>
    <w:rsid w:val="005762B2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6568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43F1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4524"/>
    <w:rsid w:val="00D42339"/>
    <w:rsid w:val="00D61AC2"/>
    <w:rsid w:val="00D83B8C"/>
    <w:rsid w:val="00DA4281"/>
    <w:rsid w:val="00DB1ADC"/>
    <w:rsid w:val="00E12A51"/>
    <w:rsid w:val="00E736B9"/>
    <w:rsid w:val="00E73F86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4E91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B4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786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2015-09-16T17:55:00Z</dcterms:created>
  <dcterms:modified xsi:type="dcterms:W3CDTF">2015-10-02T16:07:00Z</dcterms:modified>
</cp:coreProperties>
</file>