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121AD" w:rsidRDefault="002121AD" w:rsidP="00382FEC"/>
    <w:p w:rsidR="002121AD" w:rsidRDefault="002121AD" w:rsidP="00382FEC"/>
    <w:p w:rsidR="002121AD" w:rsidRDefault="002121AD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36605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F05B88" w:rsidP="008262A3">
            <w:r>
              <w:t>Le 17</w:t>
            </w:r>
            <w:r w:rsidR="006475C8">
              <w:t xml:space="preserve"> mars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475C8" w:rsidP="00F05B88">
            <w:pPr>
              <w:rPr>
                <w:lang w:val="en-CA"/>
              </w:rPr>
            </w:pPr>
            <w:r>
              <w:t>March 1</w:t>
            </w:r>
            <w:r w:rsidR="00F05B88">
              <w:t>7</w:t>
            </w:r>
            <w:r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B6E7C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46554">
              <w:rPr>
                <w:lang w:val="en-CA"/>
              </w:rPr>
              <w:t>Abella, Karakatsanis and Brown JJ.</w:t>
            </w:r>
          </w:p>
        </w:tc>
      </w:tr>
      <w:tr w:rsidR="00C2612E" w:rsidRPr="00CB6E7C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46554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46554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29615A" w:rsidRDefault="00FB2E07">
            <w:pPr>
              <w:pStyle w:val="SCCLsocPrefix"/>
            </w:pPr>
            <w:r>
              <w:t>ENTRE :</w:t>
            </w:r>
            <w:r>
              <w:br/>
            </w:r>
          </w:p>
          <w:p w:rsidR="0029615A" w:rsidRDefault="00FB2E07">
            <w:pPr>
              <w:pStyle w:val="SCCLsocParty"/>
            </w:pPr>
            <w:r>
              <w:t>Commission des normes, de l’équité, de la santé et de la sécurité au travail (anciennement connue sous le nom de Commission de la santé et de la sécurité du travail)</w:t>
            </w:r>
            <w:r>
              <w:br/>
            </w:r>
          </w:p>
          <w:p w:rsidR="0029615A" w:rsidRDefault="004E7DD8">
            <w:pPr>
              <w:pStyle w:val="SCCLsocPartyRole"/>
            </w:pPr>
            <w:r>
              <w:t>Demanderesse</w:t>
            </w:r>
            <w:r w:rsidR="00FB2E07">
              <w:br/>
            </w:r>
          </w:p>
          <w:p w:rsidR="0029615A" w:rsidRDefault="00FB2E07">
            <w:pPr>
              <w:pStyle w:val="SCCLsocVersus"/>
            </w:pPr>
            <w:r>
              <w:t>- et -</w:t>
            </w:r>
            <w:r>
              <w:br/>
            </w:r>
          </w:p>
          <w:p w:rsidR="0029615A" w:rsidRDefault="00FB2E07">
            <w:pPr>
              <w:pStyle w:val="SCCLsocParty"/>
            </w:pPr>
            <w:r>
              <w:t>Alain Caron</w:t>
            </w:r>
            <w:r>
              <w:br/>
            </w:r>
          </w:p>
          <w:p w:rsidR="0029615A" w:rsidRDefault="00FB2E07">
            <w:pPr>
              <w:pStyle w:val="SCCLsocPartyRole"/>
            </w:pPr>
            <w:r>
              <w:t>Intimé</w:t>
            </w:r>
          </w:p>
          <w:p w:rsidR="002121AD" w:rsidRPr="002121AD" w:rsidRDefault="002121AD" w:rsidP="002121AD"/>
          <w:p w:rsidR="0029615A" w:rsidRDefault="00FB2E07">
            <w:pPr>
              <w:pStyle w:val="SCCLsocVersus"/>
            </w:pPr>
            <w:r>
              <w:t>- et -</w:t>
            </w:r>
            <w:r>
              <w:br/>
            </w:r>
          </w:p>
          <w:p w:rsidR="0029615A" w:rsidRDefault="00FB2E07">
            <w:pPr>
              <w:pStyle w:val="SCCLsocParty"/>
            </w:pPr>
            <w:r>
              <w:t>Commission des lésions professionnelles</w:t>
            </w:r>
            <w:r w:rsidR="004E7DD8">
              <w:t xml:space="preserve"> et</w:t>
            </w:r>
            <w:r>
              <w:t xml:space="preserve"> Centre Miriam</w:t>
            </w:r>
            <w:r>
              <w:br/>
            </w:r>
          </w:p>
          <w:p w:rsidR="0029615A" w:rsidRDefault="00FB2E07" w:rsidP="002121AD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29615A" w:rsidRDefault="00FB2E07">
            <w:pPr>
              <w:pStyle w:val="SCCLsocPrefix"/>
            </w:pPr>
            <w:r>
              <w:t>BETWEEN:</w:t>
            </w:r>
            <w:r>
              <w:br/>
            </w:r>
          </w:p>
          <w:p w:rsidR="0029615A" w:rsidRDefault="00FB2E07">
            <w:pPr>
              <w:pStyle w:val="SCCLsocParty"/>
            </w:pPr>
            <w:r>
              <w:t>Commission des normes, de l’équité, de la santé et de la sécurité au travail (</w:t>
            </w:r>
            <w:r w:rsidR="00C5693A">
              <w:t xml:space="preserve">formerly </w:t>
            </w:r>
            <w:r w:rsidR="009B487A">
              <w:t xml:space="preserve">known as </w:t>
            </w:r>
            <w:r>
              <w:t>Commission de la santé et de la sécurité du travail)</w:t>
            </w:r>
            <w:r>
              <w:br/>
            </w:r>
          </w:p>
          <w:p w:rsidR="00CB6E7C" w:rsidRPr="00CB6E7C" w:rsidRDefault="00CB6E7C" w:rsidP="00CB6E7C"/>
          <w:p w:rsidR="0029615A" w:rsidRPr="00346554" w:rsidRDefault="00FB2E07">
            <w:pPr>
              <w:pStyle w:val="SCCLsocPartyRole"/>
              <w:rPr>
                <w:lang w:val="en-CA"/>
              </w:rPr>
            </w:pPr>
            <w:r w:rsidRPr="00346554">
              <w:rPr>
                <w:lang w:val="en-CA"/>
              </w:rPr>
              <w:t>Applicant</w:t>
            </w:r>
            <w:r w:rsidRPr="00346554">
              <w:rPr>
                <w:lang w:val="en-CA"/>
              </w:rPr>
              <w:br/>
            </w:r>
          </w:p>
          <w:p w:rsidR="0029615A" w:rsidRPr="00346554" w:rsidRDefault="00FB2E07">
            <w:pPr>
              <w:pStyle w:val="SCCLsocVersus"/>
              <w:rPr>
                <w:lang w:val="en-CA"/>
              </w:rPr>
            </w:pPr>
            <w:r w:rsidRPr="00346554">
              <w:rPr>
                <w:lang w:val="en-CA"/>
              </w:rPr>
              <w:t>- and -</w:t>
            </w:r>
            <w:r w:rsidRPr="00346554">
              <w:rPr>
                <w:lang w:val="en-CA"/>
              </w:rPr>
              <w:br/>
            </w:r>
          </w:p>
          <w:p w:rsidR="0029615A" w:rsidRPr="00346554" w:rsidRDefault="00FB2E07">
            <w:pPr>
              <w:pStyle w:val="SCCLsocParty"/>
              <w:rPr>
                <w:lang w:val="en-CA"/>
              </w:rPr>
            </w:pPr>
            <w:r w:rsidRPr="00346554">
              <w:rPr>
                <w:lang w:val="en-CA"/>
              </w:rPr>
              <w:t>Alain Caron</w:t>
            </w:r>
            <w:r w:rsidRPr="00346554">
              <w:rPr>
                <w:lang w:val="en-CA"/>
              </w:rPr>
              <w:br/>
            </w:r>
          </w:p>
          <w:p w:rsidR="0029615A" w:rsidRPr="00346554" w:rsidRDefault="00FB2E07">
            <w:pPr>
              <w:pStyle w:val="SCCLsocPartyRole"/>
              <w:rPr>
                <w:lang w:val="en-CA"/>
              </w:rPr>
            </w:pPr>
            <w:r w:rsidRPr="00346554">
              <w:rPr>
                <w:lang w:val="en-CA"/>
              </w:rPr>
              <w:t>Respondent</w:t>
            </w:r>
            <w:r w:rsidRPr="00346554">
              <w:rPr>
                <w:lang w:val="en-CA"/>
              </w:rPr>
              <w:br/>
            </w:r>
          </w:p>
          <w:p w:rsidR="0029615A" w:rsidRPr="00346554" w:rsidRDefault="00FB2E07">
            <w:pPr>
              <w:pStyle w:val="SCCLsocVersus"/>
              <w:rPr>
                <w:lang w:val="en-CA"/>
              </w:rPr>
            </w:pPr>
            <w:r w:rsidRPr="00346554">
              <w:rPr>
                <w:lang w:val="en-CA"/>
              </w:rPr>
              <w:t>- and -</w:t>
            </w:r>
            <w:r w:rsidRPr="00346554">
              <w:rPr>
                <w:lang w:val="en-CA"/>
              </w:rPr>
              <w:br/>
            </w:r>
          </w:p>
          <w:p w:rsidR="00C5693A" w:rsidRPr="00C5693A" w:rsidRDefault="00FB2E07" w:rsidP="00CB6E7C">
            <w:pPr>
              <w:pStyle w:val="SCCLsocParty"/>
            </w:pPr>
            <w:r>
              <w:t>Commission des lésions professionnelles</w:t>
            </w:r>
            <w:r w:rsidR="004E7DD8">
              <w:t xml:space="preserve"> and</w:t>
            </w:r>
            <w:r>
              <w:t xml:space="preserve"> Miriam Home and Services</w:t>
            </w:r>
            <w:r>
              <w:br/>
            </w:r>
          </w:p>
          <w:p w:rsidR="0029615A" w:rsidRDefault="00FB2E07">
            <w:pPr>
              <w:pStyle w:val="SCCLsocPartyRole"/>
            </w:pPr>
            <w:r>
              <w:t>Interveners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B6E7C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3552B1" w:rsidP="00020712">
            <w:pPr>
              <w:jc w:val="both"/>
            </w:pPr>
            <w:r>
              <w:t xml:space="preserve">La requête pour </w:t>
            </w:r>
            <w:r w:rsidRPr="00C5693A">
              <w:t>permission</w:t>
            </w:r>
            <w:r>
              <w:t xml:space="preserve"> d’intervenir par la requérante, la procureure générale du Québec</w:t>
            </w:r>
            <w:r w:rsidR="00C5693A">
              <w:t xml:space="preserve">, est rejetée </w:t>
            </w:r>
            <w:r>
              <w:t xml:space="preserve">sous réserve de son droit de demander l’autorisation d’intervenir </w:t>
            </w:r>
            <w:r w:rsidRPr="00C5693A">
              <w:t xml:space="preserve">dans l’appel. </w:t>
            </w:r>
            <w:r w:rsidR="002121AD"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>, numéro</w:t>
            </w:r>
            <w:r w:rsidR="0027081E">
              <w:t>, 500-09-024544-140</w:t>
            </w:r>
            <w:r w:rsidR="0027081E" w:rsidRPr="001E26DB">
              <w:t xml:space="preserve">, </w:t>
            </w:r>
            <w:r>
              <w:t xml:space="preserve">2015 QCCA 1048, </w:t>
            </w:r>
            <w:r w:rsidR="0027081E" w:rsidRPr="001E26DB">
              <w:t xml:space="preserve">daté du </w:t>
            </w:r>
            <w:r w:rsidR="0027081E">
              <w:t>15 juin 2015</w:t>
            </w:r>
            <w:r w:rsidR="0027081E" w:rsidRPr="001E26DB">
              <w:t xml:space="preserve">, est </w:t>
            </w:r>
            <w:r w:rsidR="002121AD">
              <w:t>accueillie</w:t>
            </w:r>
            <w:r w:rsidR="00020712">
              <w:t>.</w:t>
            </w:r>
            <w:r w:rsidR="002121AD">
              <w:t xml:space="preserve"> 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020712" w:rsidP="00020712">
            <w:pPr>
              <w:jc w:val="both"/>
              <w:rPr>
                <w:lang w:val="en-CA"/>
              </w:rPr>
            </w:pPr>
            <w:r>
              <w:rPr>
                <w:lang w:val="en-US"/>
              </w:rPr>
              <w:t xml:space="preserve">The motion </w:t>
            </w:r>
            <w:r w:rsidR="003552B1" w:rsidRPr="00C5693A">
              <w:rPr>
                <w:lang w:val="en-US"/>
              </w:rPr>
              <w:t xml:space="preserve">of the </w:t>
            </w:r>
            <w:r w:rsidR="003552B1" w:rsidRPr="003552B1">
              <w:rPr>
                <w:lang w:val="en-US"/>
              </w:rPr>
              <w:t>Attorney General of Quebec</w:t>
            </w:r>
            <w:r>
              <w:rPr>
                <w:lang w:val="en-US"/>
              </w:rPr>
              <w:t xml:space="preserve"> </w:t>
            </w:r>
            <w:r w:rsidRPr="00C5693A">
              <w:rPr>
                <w:lang w:val="en-US"/>
              </w:rPr>
              <w:t>for leave to intervene</w:t>
            </w:r>
            <w:r w:rsidR="003552B1">
              <w:rPr>
                <w:lang w:val="en-US"/>
              </w:rPr>
              <w:t xml:space="preserve"> </w:t>
            </w:r>
            <w:r w:rsidR="003552B1" w:rsidRPr="00C5693A">
              <w:rPr>
                <w:lang w:val="en-US"/>
              </w:rPr>
              <w:t>is dismissed</w:t>
            </w:r>
            <w:r>
              <w:rPr>
                <w:lang w:val="en-US"/>
              </w:rPr>
              <w:t>,</w:t>
            </w:r>
            <w:r w:rsidR="003552B1" w:rsidRPr="00C5693A">
              <w:rPr>
                <w:lang w:val="en-US"/>
              </w:rPr>
              <w:t xml:space="preserve"> without prejudice to </w:t>
            </w:r>
            <w:r>
              <w:rPr>
                <w:lang w:val="en-US"/>
              </w:rPr>
              <w:t>her</w:t>
            </w:r>
            <w:r w:rsidR="003552B1" w:rsidRPr="00C5693A">
              <w:rPr>
                <w:lang w:val="en-US"/>
              </w:rPr>
              <w:t xml:space="preserve"> right to apply for leave to intervene in the appeal. </w:t>
            </w:r>
            <w:r w:rsidR="00FB2E07"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346554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346554">
              <w:rPr>
                <w:lang w:val="en-CA"/>
              </w:rPr>
              <w:t>500-09-024544-140</w:t>
            </w:r>
            <w:r w:rsidR="0027081E" w:rsidRPr="001E26DB">
              <w:rPr>
                <w:lang w:val="en-CA"/>
              </w:rPr>
              <w:t>,</w:t>
            </w:r>
            <w:r w:rsidR="003552B1">
              <w:rPr>
                <w:lang w:val="en-CA"/>
              </w:rPr>
              <w:t xml:space="preserve"> </w:t>
            </w:r>
            <w:r w:rsidR="003552B1" w:rsidRPr="00C5693A">
              <w:rPr>
                <w:lang w:val="en-US"/>
              </w:rPr>
              <w:t xml:space="preserve">2015 QCCA 1048, 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346554">
              <w:rPr>
                <w:lang w:val="en-CA"/>
              </w:rPr>
              <w:t>June 15, 2015</w:t>
            </w:r>
            <w:r w:rsidR="004E7DD8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2121AD">
              <w:rPr>
                <w:lang w:val="en-CA"/>
              </w:rPr>
              <w:t>granted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21" w:rsidRDefault="003D5B21">
      <w:r>
        <w:separator/>
      </w:r>
    </w:p>
  </w:endnote>
  <w:endnote w:type="continuationSeparator" w:id="0">
    <w:p w:rsidR="003D5B21" w:rsidRDefault="003D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21" w:rsidRDefault="003D5B21">
      <w:r>
        <w:separator/>
      </w:r>
    </w:p>
  </w:footnote>
  <w:footnote w:type="continuationSeparator" w:id="0">
    <w:p w:rsidR="003D5B21" w:rsidRDefault="003D5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452A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36605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0712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21AD"/>
    <w:rsid w:val="00215653"/>
    <w:rsid w:val="0027081E"/>
    <w:rsid w:val="0029615A"/>
    <w:rsid w:val="002B5FA6"/>
    <w:rsid w:val="002C29B6"/>
    <w:rsid w:val="0031097F"/>
    <w:rsid w:val="0031165C"/>
    <w:rsid w:val="00311ACE"/>
    <w:rsid w:val="003174AD"/>
    <w:rsid w:val="00346554"/>
    <w:rsid w:val="003552B1"/>
    <w:rsid w:val="00374E7D"/>
    <w:rsid w:val="00375294"/>
    <w:rsid w:val="00382FEC"/>
    <w:rsid w:val="00385A90"/>
    <w:rsid w:val="003A37CF"/>
    <w:rsid w:val="003B1F3D"/>
    <w:rsid w:val="003B7760"/>
    <w:rsid w:val="003C744C"/>
    <w:rsid w:val="003D5B21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E7DD8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2730D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B487A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5693A"/>
    <w:rsid w:val="00C609B7"/>
    <w:rsid w:val="00CB6E7C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427B"/>
    <w:rsid w:val="00E777AD"/>
    <w:rsid w:val="00E81C0B"/>
    <w:rsid w:val="00EA4B61"/>
    <w:rsid w:val="00EF4EF2"/>
    <w:rsid w:val="00F05B88"/>
    <w:rsid w:val="00F06BF6"/>
    <w:rsid w:val="00F1759D"/>
    <w:rsid w:val="00F4094A"/>
    <w:rsid w:val="00F40FBF"/>
    <w:rsid w:val="00F452AE"/>
    <w:rsid w:val="00F47372"/>
    <w:rsid w:val="00F5034C"/>
    <w:rsid w:val="00F67F03"/>
    <w:rsid w:val="00F70D4F"/>
    <w:rsid w:val="00F76E97"/>
    <w:rsid w:val="00F84E07"/>
    <w:rsid w:val="00FB2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term01">
    <w:name w:val="term01"/>
    <w:basedOn w:val="DefaultParagraphFont"/>
    <w:rsid w:val="003552B1"/>
    <w:rPr>
      <w:shd w:val="clear" w:color="auto" w:fill="BFE8FD"/>
    </w:rPr>
  </w:style>
  <w:style w:type="character" w:customStyle="1" w:styleId="hps">
    <w:name w:val="hps"/>
    <w:basedOn w:val="DefaultParagraphFont"/>
    <w:rsid w:val="0035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2016-03-16T13:37:00Z</dcterms:created>
  <dcterms:modified xsi:type="dcterms:W3CDTF">2016-03-16T13:37:00Z</dcterms:modified>
</cp:coreProperties>
</file>