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36707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2925AC">
            <w:r>
              <w:t xml:space="preserve">Le </w:t>
            </w:r>
            <w:r w:rsidR="00757AE4">
              <w:t>7 avril,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57AE4" w:rsidP="0027081E">
            <w:pPr>
              <w:rPr>
                <w:lang w:val="en-CA"/>
              </w:rPr>
            </w:pPr>
            <w:r>
              <w:t>April 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0631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B64EC">
              <w:rPr>
                <w:lang w:val="en-CA"/>
              </w:rPr>
              <w:t>Cromwell, Wagner and Côté JJ.</w:t>
            </w:r>
          </w:p>
        </w:tc>
      </w:tr>
      <w:tr w:rsidR="00C2612E" w:rsidRPr="0090631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64E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64E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B6E70" w:rsidRDefault="00F40CB0">
            <w:pPr>
              <w:pStyle w:val="SCCLsocPrefix"/>
            </w:pPr>
            <w:r>
              <w:t>ENTRE :</w:t>
            </w:r>
            <w:r>
              <w:br/>
            </w:r>
          </w:p>
          <w:p w:rsidR="008B6E70" w:rsidRDefault="00F40CB0">
            <w:pPr>
              <w:pStyle w:val="SCCLsocParty"/>
            </w:pPr>
            <w:r>
              <w:t>B.B.</w:t>
            </w:r>
            <w:r>
              <w:br/>
            </w:r>
          </w:p>
          <w:p w:rsidR="008B6E70" w:rsidRDefault="00F40CB0">
            <w:pPr>
              <w:pStyle w:val="SCCLsocPartyRole"/>
            </w:pPr>
            <w:r>
              <w:t>Demandeur</w:t>
            </w:r>
            <w:r>
              <w:br/>
            </w:r>
          </w:p>
          <w:p w:rsidR="008B6E70" w:rsidRDefault="00F40CB0">
            <w:pPr>
              <w:pStyle w:val="SCCLsocVersus"/>
            </w:pPr>
            <w:r>
              <w:t>- et -</w:t>
            </w:r>
            <w:r>
              <w:br/>
            </w:r>
          </w:p>
          <w:p w:rsidR="008B6E70" w:rsidRDefault="00F40CB0">
            <w:pPr>
              <w:pStyle w:val="SCCLsocParty"/>
            </w:pPr>
            <w:r>
              <w:t>A.D.S.</w:t>
            </w:r>
            <w:r>
              <w:br/>
            </w:r>
          </w:p>
          <w:p w:rsidR="008B6E70" w:rsidRDefault="00F40CB0" w:rsidP="002925A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0B64EC" w:rsidRDefault="00824412" w:rsidP="00375294"/>
        </w:tc>
        <w:tc>
          <w:tcPr>
            <w:tcW w:w="2350" w:type="pct"/>
          </w:tcPr>
          <w:p w:rsidR="008B6E70" w:rsidRPr="000B64EC" w:rsidRDefault="00F40CB0">
            <w:pPr>
              <w:pStyle w:val="SCCLsocPrefix"/>
              <w:rPr>
                <w:lang w:val="en-CA"/>
              </w:rPr>
            </w:pPr>
            <w:r w:rsidRPr="000B64EC">
              <w:rPr>
                <w:lang w:val="en-CA"/>
              </w:rPr>
              <w:t>BETWEEN:</w:t>
            </w:r>
            <w:r w:rsidRPr="000B64EC">
              <w:rPr>
                <w:lang w:val="en-CA"/>
              </w:rPr>
              <w:br/>
            </w:r>
          </w:p>
          <w:p w:rsidR="008B6E70" w:rsidRPr="000B64EC" w:rsidRDefault="00F40CB0">
            <w:pPr>
              <w:pStyle w:val="SCCLsocParty"/>
              <w:rPr>
                <w:lang w:val="en-CA"/>
              </w:rPr>
            </w:pPr>
            <w:r w:rsidRPr="000B64EC">
              <w:rPr>
                <w:lang w:val="en-CA"/>
              </w:rPr>
              <w:t>B.B.</w:t>
            </w:r>
            <w:r w:rsidRPr="000B64EC">
              <w:rPr>
                <w:lang w:val="en-CA"/>
              </w:rPr>
              <w:br/>
            </w:r>
          </w:p>
          <w:p w:rsidR="008B6E70" w:rsidRPr="000B64EC" w:rsidRDefault="00F40CB0">
            <w:pPr>
              <w:pStyle w:val="SCCLsocPartyRole"/>
              <w:rPr>
                <w:lang w:val="en-CA"/>
              </w:rPr>
            </w:pPr>
            <w:r w:rsidRPr="000B64EC">
              <w:rPr>
                <w:lang w:val="en-CA"/>
              </w:rPr>
              <w:t>Applicant</w:t>
            </w:r>
            <w:r w:rsidRPr="000B64EC">
              <w:rPr>
                <w:lang w:val="en-CA"/>
              </w:rPr>
              <w:br/>
            </w:r>
          </w:p>
          <w:p w:rsidR="008B6E70" w:rsidRPr="000B64EC" w:rsidRDefault="00F40CB0">
            <w:pPr>
              <w:pStyle w:val="SCCLsocVersus"/>
              <w:rPr>
                <w:lang w:val="en-CA"/>
              </w:rPr>
            </w:pPr>
            <w:r w:rsidRPr="000B64EC">
              <w:rPr>
                <w:lang w:val="en-CA"/>
              </w:rPr>
              <w:t>- and -</w:t>
            </w:r>
            <w:r w:rsidRPr="000B64EC">
              <w:rPr>
                <w:lang w:val="en-CA"/>
              </w:rPr>
              <w:br/>
            </w:r>
          </w:p>
          <w:p w:rsidR="008B6E70" w:rsidRDefault="00F40CB0">
            <w:pPr>
              <w:pStyle w:val="SCCLsocParty"/>
            </w:pPr>
            <w:r>
              <w:t>A.D.S.</w:t>
            </w:r>
            <w:r>
              <w:br/>
            </w:r>
          </w:p>
          <w:p w:rsidR="008B6E70" w:rsidRDefault="00F40CB0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631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3350F" w:rsidP="0083350F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500-09-025131-152</w:t>
            </w:r>
            <w:r w:rsidR="0027081E" w:rsidRPr="001E26DB">
              <w:t>,</w:t>
            </w:r>
            <w:r w:rsidR="00142779">
              <w:t xml:space="preserve"> 2015 QCCA 1419,</w:t>
            </w:r>
            <w:r w:rsidR="0027081E" w:rsidRPr="001E26DB">
              <w:t xml:space="preserve"> daté du </w:t>
            </w:r>
            <w:r w:rsidR="0027081E">
              <w:t>28 août 2015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40CB0" w:rsidP="00F40CB0">
            <w:pPr>
              <w:jc w:val="both"/>
              <w:rPr>
                <w:lang w:val="en-CA"/>
              </w:rPr>
            </w:pPr>
            <w:r w:rsidRPr="00F40CB0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B64EC">
              <w:rPr>
                <w:lang w:val="en-CA"/>
              </w:rPr>
              <w:t>Court of Appeal of Quebec (Montréal)</w:t>
            </w:r>
            <w:r w:rsidR="0090631A">
              <w:rPr>
                <w:lang w:val="en-CA"/>
              </w:rPr>
              <w:t xml:space="preserve">, Number </w:t>
            </w:r>
            <w:r w:rsidR="0027081E" w:rsidRPr="000B64EC">
              <w:rPr>
                <w:lang w:val="en-CA"/>
              </w:rPr>
              <w:t>500-09-025131-152</w:t>
            </w:r>
            <w:r w:rsidR="0027081E" w:rsidRPr="001E26DB">
              <w:rPr>
                <w:lang w:val="en-CA"/>
              </w:rPr>
              <w:t>,</w:t>
            </w:r>
            <w:r w:rsidR="00142779">
              <w:rPr>
                <w:lang w:val="en-CA"/>
              </w:rPr>
              <w:t xml:space="preserve"> 2015 QCCA 1419,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0B64EC">
              <w:rPr>
                <w:lang w:val="en-CA"/>
              </w:rPr>
              <w:t>August 28,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F40CB0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40CB0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D8" w:rsidRDefault="009D11D8">
      <w:r>
        <w:separator/>
      </w:r>
    </w:p>
  </w:endnote>
  <w:endnote w:type="continuationSeparator" w:id="0">
    <w:p w:rsidR="009D11D8" w:rsidRDefault="009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D8" w:rsidRDefault="009D11D8">
      <w:r>
        <w:separator/>
      </w:r>
    </w:p>
  </w:footnote>
  <w:footnote w:type="continuationSeparator" w:id="0">
    <w:p w:rsidR="009D11D8" w:rsidRDefault="009D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0631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64EC"/>
    <w:rsid w:val="000B76FF"/>
    <w:rsid w:val="000D7521"/>
    <w:rsid w:val="000E4CCE"/>
    <w:rsid w:val="000F44E1"/>
    <w:rsid w:val="00130C0B"/>
    <w:rsid w:val="0014277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25AC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57AE4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350F"/>
    <w:rsid w:val="0086042A"/>
    <w:rsid w:val="008813BC"/>
    <w:rsid w:val="008A153F"/>
    <w:rsid w:val="008A78BE"/>
    <w:rsid w:val="008B5590"/>
    <w:rsid w:val="008B6E70"/>
    <w:rsid w:val="008D6351"/>
    <w:rsid w:val="008F4A07"/>
    <w:rsid w:val="0090631A"/>
    <w:rsid w:val="00951EF6"/>
    <w:rsid w:val="00961003"/>
    <w:rsid w:val="0096638C"/>
    <w:rsid w:val="00971A08"/>
    <w:rsid w:val="00990F06"/>
    <w:rsid w:val="00995343"/>
    <w:rsid w:val="009D11D8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27EA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CF3006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CB0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2016-04-05T12:24:00Z</dcterms:created>
  <dcterms:modified xsi:type="dcterms:W3CDTF">2016-04-05T12:24:00Z</dcterms:modified>
</cp:coreProperties>
</file>