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6F" w:rsidRPr="006E7BAE" w:rsidRDefault="0016666F" w:rsidP="00382FEC">
      <w:bookmarkStart w:id="0" w:name="_GoBack"/>
      <w:bookmarkEnd w:id="0"/>
    </w:p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4C333D" w:rsidRDefault="004C333D" w:rsidP="00382FEC"/>
    <w:p w:rsidR="00D83B8C" w:rsidRPr="006E7BAE" w:rsidRDefault="00D83B8C" w:rsidP="00382FEC"/>
    <w:p w:rsidR="009F436C" w:rsidRDefault="009F436C" w:rsidP="00382FEC"/>
    <w:p w:rsidR="00462F16" w:rsidRDefault="00462F16" w:rsidP="00382FEC"/>
    <w:p w:rsidR="00462F16" w:rsidRPr="006E7BAE" w:rsidRDefault="00462F16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91AC9" w:rsidP="008262A3">
            <w:r>
              <w:t>May 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D0807">
            <w:pPr>
              <w:rPr>
                <w:lang w:val="en-US"/>
              </w:rPr>
            </w:pPr>
            <w:r>
              <w:t xml:space="preserve">Le </w:t>
            </w:r>
            <w:r w:rsidR="00E91AC9">
              <w:t>5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D390C" w:rsidTr="00C173B0">
        <w:tc>
          <w:tcPr>
            <w:tcW w:w="2269" w:type="pct"/>
          </w:tcPr>
          <w:p w:rsidR="00417FB7" w:rsidRPr="006E7BAE" w:rsidRDefault="00C06B75" w:rsidP="008262A3">
            <w:r>
              <w:t xml:space="preserve">Coram: </w:t>
            </w:r>
            <w:r w:rsidR="00417FB7"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407B">
              <w:rPr>
                <w:lang w:val="fr-CA"/>
              </w:rPr>
              <w:t>Les juges Cromwell, Wagner et Côté</w:t>
            </w:r>
          </w:p>
        </w:tc>
      </w:tr>
      <w:tr w:rsidR="00C2612E" w:rsidRPr="000D390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9407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9407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C5EF3" w:rsidRDefault="002A2322">
            <w:pPr>
              <w:pStyle w:val="SCCLsocPrefix"/>
            </w:pPr>
            <w:r>
              <w:t>BETWEEN:</w:t>
            </w:r>
            <w:r>
              <w:br/>
            </w:r>
          </w:p>
          <w:p w:rsidR="001C5EF3" w:rsidRDefault="002A2322">
            <w:pPr>
              <w:pStyle w:val="SCCLsocParty"/>
            </w:pPr>
            <w:r>
              <w:t xml:space="preserve">George Lu, </w:t>
            </w:r>
            <w:proofErr w:type="spellStart"/>
            <w:r>
              <w:t>Everrise</w:t>
            </w:r>
            <w:proofErr w:type="spellEnd"/>
            <w:r>
              <w:t xml:space="preserve"> Group Holdings Ltd., Golden Maple Leaf (Hangzhou) Financial Consulting Co., Ltd. (</w:t>
            </w:r>
            <w:r w:rsidR="00C06B75">
              <w:t>f</w:t>
            </w:r>
            <w:r>
              <w:t>ormerly known as Golden Maple Leaf (Hangzhou) Technology Consulting Co. Ltd</w:t>
            </w:r>
            <w:r w:rsidR="000D390C">
              <w:t>.</w:t>
            </w:r>
            <w:r>
              <w:t>), Golden Maple Leaf Technology Corporation</w:t>
            </w:r>
            <w:r w:rsidR="00AD0807">
              <w:t xml:space="preserve"> and</w:t>
            </w:r>
            <w:r>
              <w:t xml:space="preserve"> Zhejiang </w:t>
            </w:r>
            <w:proofErr w:type="spellStart"/>
            <w:r>
              <w:t>Highnew</w:t>
            </w:r>
            <w:proofErr w:type="spellEnd"/>
            <w:r>
              <w:t xml:space="preserve"> Environmental Technology Co. Ltd.</w:t>
            </w:r>
            <w:r>
              <w:br/>
            </w:r>
          </w:p>
          <w:p w:rsidR="001C5EF3" w:rsidRDefault="002A2322">
            <w:pPr>
              <w:pStyle w:val="SCCLsocPartyRole"/>
            </w:pPr>
            <w:r>
              <w:t>Applicants</w:t>
            </w:r>
            <w:r>
              <w:br/>
            </w:r>
          </w:p>
          <w:p w:rsidR="001C5EF3" w:rsidRDefault="002A2322">
            <w:pPr>
              <w:pStyle w:val="SCCLsocVersus"/>
            </w:pPr>
            <w:r>
              <w:t>- and -</w:t>
            </w:r>
            <w:r>
              <w:br/>
            </w:r>
          </w:p>
          <w:p w:rsidR="001C5EF3" w:rsidRDefault="002A2322">
            <w:pPr>
              <w:pStyle w:val="SCCLsocParty"/>
            </w:pPr>
            <w:r>
              <w:t>Eco-Tec Inc.</w:t>
            </w:r>
            <w:r>
              <w:br/>
            </w:r>
          </w:p>
          <w:p w:rsidR="001C5EF3" w:rsidRDefault="002A23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C5EF3" w:rsidRDefault="002A2322">
            <w:pPr>
              <w:pStyle w:val="SCCLsocPrefix"/>
            </w:pPr>
            <w:r>
              <w:t>ENTRE :</w:t>
            </w:r>
            <w:r>
              <w:br/>
            </w:r>
          </w:p>
          <w:p w:rsidR="001C5EF3" w:rsidRDefault="002A2322">
            <w:pPr>
              <w:pStyle w:val="SCCLsocParty"/>
            </w:pPr>
            <w:r>
              <w:t xml:space="preserve">George Lu, </w:t>
            </w:r>
            <w:proofErr w:type="spellStart"/>
            <w:r>
              <w:t>Everrise</w:t>
            </w:r>
            <w:proofErr w:type="spellEnd"/>
            <w:r>
              <w:t xml:space="preserve"> Group Holdings Ltd., Golden Maple Leaf (Hangzhou) Financial Consulting Co., Ltd. </w:t>
            </w:r>
            <w:r w:rsidRPr="000D390C">
              <w:t>(</w:t>
            </w:r>
            <w:r w:rsidR="00100463" w:rsidRPr="000D390C">
              <w:t>auparavant connue sous le nom de</w:t>
            </w:r>
            <w:r w:rsidRPr="000D390C">
              <w:t xml:space="preserve"> Golden Maple Leaf (Hangzhou) Technology Consulting Co. </w:t>
            </w:r>
            <w:r>
              <w:t>Ltd</w:t>
            </w:r>
            <w:r w:rsidR="000D390C">
              <w:t>.</w:t>
            </w:r>
            <w:r>
              <w:t>), Golden Maple Leaf Technology Corporation</w:t>
            </w:r>
            <w:r w:rsidR="00AD0807">
              <w:t xml:space="preserve"> et</w:t>
            </w:r>
            <w:r>
              <w:t xml:space="preserve"> Zhejiang </w:t>
            </w:r>
            <w:proofErr w:type="spellStart"/>
            <w:r>
              <w:t>Highnew</w:t>
            </w:r>
            <w:proofErr w:type="spellEnd"/>
            <w:r>
              <w:t xml:space="preserve"> Environmental Technology Co. Ltd.</w:t>
            </w:r>
            <w:r>
              <w:br/>
            </w:r>
          </w:p>
          <w:p w:rsidR="001C5EF3" w:rsidRPr="0009407B" w:rsidRDefault="002A2322">
            <w:pPr>
              <w:pStyle w:val="SCCLsocPartyRole"/>
              <w:rPr>
                <w:lang w:val="fr-CA"/>
              </w:rPr>
            </w:pPr>
            <w:r w:rsidRPr="0009407B">
              <w:rPr>
                <w:lang w:val="fr-CA"/>
              </w:rPr>
              <w:t>Demandeurs</w:t>
            </w:r>
            <w:r w:rsidRPr="0009407B">
              <w:rPr>
                <w:lang w:val="fr-CA"/>
              </w:rPr>
              <w:br/>
            </w:r>
          </w:p>
          <w:p w:rsidR="001C5EF3" w:rsidRPr="0009407B" w:rsidRDefault="002A2322">
            <w:pPr>
              <w:pStyle w:val="SCCLsocVersus"/>
              <w:rPr>
                <w:lang w:val="fr-CA"/>
              </w:rPr>
            </w:pPr>
            <w:r w:rsidRPr="0009407B">
              <w:rPr>
                <w:lang w:val="fr-CA"/>
              </w:rPr>
              <w:t>- et -</w:t>
            </w:r>
            <w:r w:rsidRPr="0009407B">
              <w:rPr>
                <w:lang w:val="fr-CA"/>
              </w:rPr>
              <w:br/>
            </w:r>
          </w:p>
          <w:p w:rsidR="001C5EF3" w:rsidRPr="0009407B" w:rsidRDefault="002A2322">
            <w:pPr>
              <w:pStyle w:val="SCCLsocParty"/>
              <w:rPr>
                <w:lang w:val="fr-CA"/>
              </w:rPr>
            </w:pPr>
            <w:r w:rsidRPr="0009407B">
              <w:rPr>
                <w:lang w:val="fr-CA"/>
              </w:rPr>
              <w:t>Eco-Tec Inc.</w:t>
            </w:r>
            <w:r w:rsidRPr="0009407B">
              <w:rPr>
                <w:lang w:val="fr-CA"/>
              </w:rPr>
              <w:br/>
            </w:r>
          </w:p>
          <w:p w:rsidR="001C5EF3" w:rsidRDefault="002A2322" w:rsidP="00AD080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390C" w:rsidTr="00C173B0">
        <w:tc>
          <w:tcPr>
            <w:tcW w:w="2269" w:type="pct"/>
          </w:tcPr>
          <w:p w:rsidR="00462F16" w:rsidRDefault="00462F16" w:rsidP="00C2612E">
            <w:pPr>
              <w:jc w:val="center"/>
            </w:pPr>
          </w:p>
          <w:p w:rsidR="00462F16" w:rsidRDefault="00462F16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232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</w:t>
            </w:r>
            <w:r>
              <w:lastRenderedPageBreak/>
              <w:t>Ontario</w:t>
            </w:r>
            <w:r w:rsidRPr="006E7BAE">
              <w:t xml:space="preserve">, Number </w:t>
            </w:r>
            <w:r>
              <w:t>C60540, 2015 ONCA 818</w:t>
            </w:r>
            <w:r w:rsidRPr="006E7BAE">
              <w:t xml:space="preserve">, dated </w:t>
            </w:r>
            <w:r>
              <w:t>November 27, 2015</w:t>
            </w:r>
            <w:r w:rsidR="002A2322">
              <w:t>,</w:t>
            </w:r>
            <w:r w:rsidR="004C333D">
              <w:t xml:space="preserve"> </w:t>
            </w:r>
            <w:r w:rsidRPr="006E7BAE">
              <w:t xml:space="preserve">is </w:t>
            </w:r>
            <w:r w:rsidR="002A232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462F16" w:rsidRPr="00100463" w:rsidRDefault="00462F16" w:rsidP="00C2612E">
            <w:pPr>
              <w:jc w:val="center"/>
              <w:rPr>
                <w:lang w:val="en-US"/>
              </w:rPr>
            </w:pPr>
          </w:p>
          <w:p w:rsidR="00462F16" w:rsidRPr="00100463" w:rsidRDefault="00462F16" w:rsidP="00C2612E">
            <w:pPr>
              <w:jc w:val="center"/>
              <w:rPr>
                <w:lang w:val="en-US"/>
              </w:rPr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232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407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9407B">
              <w:rPr>
                <w:lang w:val="fr-CA"/>
              </w:rPr>
              <w:lastRenderedPageBreak/>
              <w:t>C60540, 2015 ONCA 818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407B">
              <w:rPr>
                <w:lang w:val="fr-CA"/>
              </w:rPr>
              <w:t>27 novembre 2015</w:t>
            </w:r>
            <w:r w:rsidRPr="006E7BAE">
              <w:rPr>
                <w:lang w:val="fr-CA"/>
              </w:rPr>
              <w:t xml:space="preserve">, </w:t>
            </w:r>
            <w:r w:rsidR="002A2322">
              <w:rPr>
                <w:lang w:val="fr-CA"/>
              </w:rPr>
              <w:t>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462F16" w:rsidRDefault="00462F16" w:rsidP="00382FEC">
      <w:pPr>
        <w:rPr>
          <w:lang w:val="fr-CA"/>
        </w:rPr>
      </w:pPr>
    </w:p>
    <w:p w:rsidR="004C333D" w:rsidRDefault="004C333D" w:rsidP="00382FEC">
      <w:pPr>
        <w:rPr>
          <w:lang w:val="fr-CA"/>
        </w:rPr>
      </w:pPr>
    </w:p>
    <w:p w:rsidR="004C333D" w:rsidRDefault="004C333D" w:rsidP="00382FEC">
      <w:pPr>
        <w:rPr>
          <w:lang w:val="fr-CA"/>
        </w:rPr>
      </w:pPr>
    </w:p>
    <w:p w:rsidR="00462F16" w:rsidRPr="00D83B8C" w:rsidRDefault="00462F16" w:rsidP="00382FEC">
      <w:pPr>
        <w:rPr>
          <w:lang w:val="fr-CA"/>
        </w:rPr>
      </w:pPr>
    </w:p>
    <w:p w:rsidR="00462F16" w:rsidRDefault="00462F16" w:rsidP="002A2322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2A232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A232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A3" w:rsidRDefault="00CE13A3">
      <w:r>
        <w:separator/>
      </w:r>
    </w:p>
  </w:endnote>
  <w:endnote w:type="continuationSeparator" w:id="0">
    <w:p w:rsidR="00CE13A3" w:rsidRDefault="00CE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A3" w:rsidRDefault="00CE13A3">
      <w:r>
        <w:separator/>
      </w:r>
    </w:p>
  </w:footnote>
  <w:footnote w:type="continuationSeparator" w:id="0">
    <w:p w:rsidR="00CE13A3" w:rsidRDefault="00CE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258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407B"/>
    <w:rsid w:val="000B4AA7"/>
    <w:rsid w:val="000B76FF"/>
    <w:rsid w:val="000D390C"/>
    <w:rsid w:val="000D7521"/>
    <w:rsid w:val="000E4CCE"/>
    <w:rsid w:val="00100463"/>
    <w:rsid w:val="00110EB3"/>
    <w:rsid w:val="0016666F"/>
    <w:rsid w:val="00167C15"/>
    <w:rsid w:val="001B3EC0"/>
    <w:rsid w:val="001C5EF3"/>
    <w:rsid w:val="001D0116"/>
    <w:rsid w:val="001D4323"/>
    <w:rsid w:val="001E1079"/>
    <w:rsid w:val="00203642"/>
    <w:rsid w:val="00212BA0"/>
    <w:rsid w:val="002523DE"/>
    <w:rsid w:val="002568D3"/>
    <w:rsid w:val="0027284C"/>
    <w:rsid w:val="002A232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F16"/>
    <w:rsid w:val="004943CF"/>
    <w:rsid w:val="004956DA"/>
    <w:rsid w:val="004C333D"/>
    <w:rsid w:val="004D4658"/>
    <w:rsid w:val="004D53C2"/>
    <w:rsid w:val="00522587"/>
    <w:rsid w:val="0055345D"/>
    <w:rsid w:val="00563E2C"/>
    <w:rsid w:val="00587869"/>
    <w:rsid w:val="00612913"/>
    <w:rsid w:val="00614908"/>
    <w:rsid w:val="00637C7C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2FFB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1D7D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080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6B75"/>
    <w:rsid w:val="00C1285B"/>
    <w:rsid w:val="00C173B0"/>
    <w:rsid w:val="00C17F71"/>
    <w:rsid w:val="00C2612E"/>
    <w:rsid w:val="00CE13A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1AC9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2016-05-03T13:11:00Z</dcterms:created>
  <dcterms:modified xsi:type="dcterms:W3CDTF">2016-05-03T13:11:00Z</dcterms:modified>
</cp:coreProperties>
</file>