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E1425" w14:textId="77777777" w:rsidR="009F436C" w:rsidRDefault="009F436C" w:rsidP="00382FEC">
      <w:bookmarkStart w:id="0" w:name="_GoBack"/>
      <w:bookmarkEnd w:id="0"/>
    </w:p>
    <w:p w14:paraId="20DE1426" w14:textId="77777777" w:rsidR="002D2D44" w:rsidRPr="006E7BAE" w:rsidRDefault="002D2D44" w:rsidP="00382FEC"/>
    <w:p w14:paraId="20DE1427" w14:textId="77777777" w:rsidR="009F436C" w:rsidRPr="006E7BAE" w:rsidRDefault="009F436C" w:rsidP="00382FEC"/>
    <w:p w14:paraId="20DE1428" w14:textId="77777777" w:rsidR="0016666F" w:rsidRPr="006E7BAE" w:rsidRDefault="0016666F" w:rsidP="00382FEC"/>
    <w:p w14:paraId="20DE1429" w14:textId="77777777" w:rsidR="0016666F" w:rsidRDefault="0016666F" w:rsidP="00382FEC"/>
    <w:p w14:paraId="20DE142A" w14:textId="77777777" w:rsidR="00D83B8C" w:rsidRDefault="00D83B8C" w:rsidP="00382FEC"/>
    <w:p w14:paraId="20DE142B" w14:textId="77777777" w:rsidR="008763A3" w:rsidRDefault="008763A3" w:rsidP="00382FEC"/>
    <w:p w14:paraId="20DE142C" w14:textId="77777777" w:rsidR="00EE7CE3" w:rsidRDefault="00EE7CE3" w:rsidP="00382FEC"/>
    <w:p w14:paraId="20DE142D" w14:textId="77777777" w:rsidR="00EE7CE3" w:rsidRDefault="00EE7CE3" w:rsidP="00382FEC"/>
    <w:p w14:paraId="20DE142E" w14:textId="77777777" w:rsidR="00EE7CE3" w:rsidRDefault="00EE7CE3" w:rsidP="00382FEC"/>
    <w:p w14:paraId="20DE142F" w14:textId="77777777" w:rsidR="00EE7CE3" w:rsidRPr="006E7BAE" w:rsidRDefault="00EE7CE3" w:rsidP="00382FEC"/>
    <w:p w14:paraId="20DE1430" w14:textId="77777777" w:rsidR="009F436C" w:rsidRPr="006E7BAE" w:rsidRDefault="009F436C" w:rsidP="00382FEC"/>
    <w:p w14:paraId="20DE143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36961</w:t>
      </w:r>
      <w:r w:rsidR="0016666F" w:rsidRPr="006E7BAE">
        <w:t>     </w:t>
      </w:r>
    </w:p>
    <w:p w14:paraId="20DE1432" w14:textId="77777777" w:rsidR="009F436C" w:rsidRPr="006E7BAE" w:rsidRDefault="009F436C" w:rsidP="00382FEC"/>
    <w:p w14:paraId="20DE143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0DE1437" w14:textId="77777777" w:rsidTr="00C173B0">
        <w:tc>
          <w:tcPr>
            <w:tcW w:w="2269" w:type="pct"/>
          </w:tcPr>
          <w:p w14:paraId="20DE1434" w14:textId="77777777" w:rsidR="00417FB7" w:rsidRPr="006E7BAE" w:rsidRDefault="00D55E12" w:rsidP="008262A3">
            <w:r>
              <w:t>November 10</w:t>
            </w:r>
            <w:r w:rsidR="00B328CD">
              <w:t>, 2016</w:t>
            </w:r>
          </w:p>
        </w:tc>
        <w:tc>
          <w:tcPr>
            <w:tcW w:w="381" w:type="pct"/>
          </w:tcPr>
          <w:p w14:paraId="20DE1435" w14:textId="77777777" w:rsidR="00417FB7" w:rsidRPr="006E7BAE" w:rsidRDefault="00417FB7" w:rsidP="00382FEC"/>
        </w:tc>
        <w:tc>
          <w:tcPr>
            <w:tcW w:w="2350" w:type="pct"/>
          </w:tcPr>
          <w:p w14:paraId="20DE1436" w14:textId="77777777" w:rsidR="00417FB7" w:rsidRPr="00D83B8C" w:rsidRDefault="00B328CD" w:rsidP="00D55E12">
            <w:pPr>
              <w:rPr>
                <w:lang w:val="en-US"/>
              </w:rPr>
            </w:pPr>
            <w:r>
              <w:t xml:space="preserve">Le </w:t>
            </w:r>
            <w:r w:rsidR="00D55E12">
              <w:t>10 novembre</w:t>
            </w:r>
            <w:r>
              <w:t xml:space="preserve"> 2016</w:t>
            </w:r>
          </w:p>
        </w:tc>
      </w:tr>
      <w:tr w:rsidR="00E12A51" w:rsidRPr="006E7BAE" w14:paraId="20DE143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DE1438" w14:textId="77777777" w:rsidR="00C2612E" w:rsidRPr="00BE3BAD" w:rsidRDefault="00C2612E" w:rsidP="008262A3">
            <w:pPr>
              <w:rPr>
                <w:sz w:val="20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DE143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DE143A" w14:textId="77777777" w:rsidR="00E12A51" w:rsidRPr="00BE3BAD" w:rsidRDefault="00E12A51" w:rsidP="00816B78">
            <w:pPr>
              <w:rPr>
                <w:sz w:val="20"/>
                <w:lang w:val="en-US"/>
              </w:rPr>
            </w:pPr>
          </w:p>
        </w:tc>
      </w:tr>
      <w:tr w:rsidR="00417FB7" w:rsidRPr="00FD2FA8" w14:paraId="20DE143F" w14:textId="77777777" w:rsidTr="00C173B0">
        <w:tc>
          <w:tcPr>
            <w:tcW w:w="2269" w:type="pct"/>
          </w:tcPr>
          <w:p w14:paraId="20DE143C" w14:textId="77777777" w:rsidR="00417FB7" w:rsidRPr="006E7BAE" w:rsidRDefault="00417FB7" w:rsidP="008262A3">
            <w:r w:rsidRPr="006E7BAE">
              <w:t xml:space="preserve">Coram:  </w:t>
            </w:r>
            <w:r>
              <w:t>Moldaver, Côté and Brown JJ.</w:t>
            </w:r>
          </w:p>
        </w:tc>
        <w:tc>
          <w:tcPr>
            <w:tcW w:w="381" w:type="pct"/>
          </w:tcPr>
          <w:p w14:paraId="20DE143D" w14:textId="77777777" w:rsidR="00417FB7" w:rsidRPr="006E7BAE" w:rsidRDefault="00417FB7" w:rsidP="00382FEC"/>
        </w:tc>
        <w:tc>
          <w:tcPr>
            <w:tcW w:w="2350" w:type="pct"/>
          </w:tcPr>
          <w:p w14:paraId="20DE143E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55E12">
              <w:rPr>
                <w:lang w:val="fr-CA"/>
              </w:rPr>
              <w:t>Les juges Moldaver, Côté et Brown</w:t>
            </w:r>
          </w:p>
        </w:tc>
      </w:tr>
      <w:tr w:rsidR="00C2612E" w:rsidRPr="00FD2FA8" w14:paraId="20DE144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DE1440" w14:textId="77777777" w:rsidR="00C2612E" w:rsidRPr="00BE3BAD" w:rsidRDefault="00C2612E" w:rsidP="008262A3">
            <w:pPr>
              <w:rPr>
                <w:sz w:val="20"/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DE1441" w14:textId="77777777" w:rsidR="00C2612E" w:rsidRPr="00D55E1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DE1442" w14:textId="77777777" w:rsidR="00C2612E" w:rsidRPr="00BE3BAD" w:rsidRDefault="00C2612E" w:rsidP="00382FEC">
            <w:pPr>
              <w:rPr>
                <w:sz w:val="20"/>
                <w:lang w:val="fr-CA"/>
              </w:rPr>
            </w:pPr>
          </w:p>
        </w:tc>
      </w:tr>
      <w:tr w:rsidR="00824412" w:rsidRPr="006E7BAE" w14:paraId="20DE145A" w14:textId="77777777" w:rsidTr="00C173B0">
        <w:tc>
          <w:tcPr>
            <w:tcW w:w="2269" w:type="pct"/>
          </w:tcPr>
          <w:p w14:paraId="20DE1444" w14:textId="77777777" w:rsidR="00DF1C4D" w:rsidRPr="00BE3BAD" w:rsidRDefault="00EE7CE3">
            <w:pPr>
              <w:pStyle w:val="SCCLsocPrefix"/>
              <w:rPr>
                <w:sz w:val="20"/>
              </w:rPr>
            </w:pPr>
            <w:r>
              <w:t>BETWEEN:</w:t>
            </w:r>
            <w:r>
              <w:br/>
            </w:r>
          </w:p>
          <w:p w14:paraId="480666D6" w14:textId="49E41ABE" w:rsidR="00BE3BAD" w:rsidRDefault="00EE7CE3" w:rsidP="00BE3BAD">
            <w:pPr>
              <w:pStyle w:val="SCCLsocParty"/>
            </w:pPr>
            <w:r>
              <w:t>Wael Maged Badawy</w:t>
            </w:r>
          </w:p>
          <w:p w14:paraId="20DE1447" w14:textId="4EE2CDB4" w:rsidR="00EE7CE3" w:rsidRDefault="00EE7CE3" w:rsidP="00BE3BAD">
            <w:pPr>
              <w:pStyle w:val="SCCLsocParty"/>
            </w:pPr>
            <w:r>
              <w:br/>
              <w:t>Applicant</w:t>
            </w:r>
          </w:p>
          <w:p w14:paraId="20DE1449" w14:textId="6DFA54B2" w:rsidR="00EE7CE3" w:rsidRDefault="00EE7CE3" w:rsidP="00BE3BAD">
            <w:pPr>
              <w:pStyle w:val="SCCLsocPartyRole"/>
            </w:pPr>
            <w:r>
              <w:br/>
              <w:t>- and –</w:t>
            </w:r>
          </w:p>
          <w:p w14:paraId="20DE144A" w14:textId="3790167E" w:rsidR="00DF1C4D" w:rsidRDefault="00DF1C4D">
            <w:pPr>
              <w:pStyle w:val="SCCLsocVersus"/>
            </w:pPr>
          </w:p>
          <w:p w14:paraId="20DE144B" w14:textId="77777777" w:rsidR="00EE7CE3" w:rsidRDefault="00EE7CE3">
            <w:pPr>
              <w:pStyle w:val="SCCLsocParty"/>
            </w:pPr>
            <w:r>
              <w:t>Zeinab Hassanein, Fatima Alashmawi also known as Fatima Rady, Safia Rady, Mohammed Hamdy</w:t>
            </w:r>
            <w:r w:rsidR="00D55E12">
              <w:t xml:space="preserve"> and </w:t>
            </w:r>
            <w:r>
              <w:t>Ghada Nafie</w:t>
            </w:r>
          </w:p>
          <w:p w14:paraId="20DE144C" w14:textId="2DBBB3EB" w:rsidR="00DF1C4D" w:rsidRDefault="00DF1C4D">
            <w:pPr>
              <w:pStyle w:val="SCCLsocParty"/>
            </w:pPr>
          </w:p>
          <w:p w14:paraId="20DE144E" w14:textId="14F2178A" w:rsidR="00EE7CE3" w:rsidRPr="00EE7CE3" w:rsidRDefault="00EE7CE3" w:rsidP="00BE3BA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0DE144F" w14:textId="77777777" w:rsidR="00824412" w:rsidRPr="006E7BAE" w:rsidRDefault="00824412" w:rsidP="00375294"/>
        </w:tc>
        <w:tc>
          <w:tcPr>
            <w:tcW w:w="2350" w:type="pct"/>
          </w:tcPr>
          <w:p w14:paraId="20DE1450" w14:textId="77777777" w:rsidR="00DF1C4D" w:rsidRPr="00BE3BAD" w:rsidRDefault="00EE7CE3">
            <w:pPr>
              <w:pStyle w:val="SCCLsocPrefix"/>
              <w:rPr>
                <w:sz w:val="20"/>
              </w:rPr>
            </w:pPr>
            <w:r w:rsidRPr="00464812">
              <w:t>ENTRE :</w:t>
            </w:r>
            <w:r w:rsidRPr="00464812">
              <w:br/>
            </w:r>
          </w:p>
          <w:p w14:paraId="20DE1451" w14:textId="77777777" w:rsidR="00DF1C4D" w:rsidRPr="00BE3BAD" w:rsidRDefault="00EE7CE3">
            <w:pPr>
              <w:pStyle w:val="SCCLsocParty"/>
            </w:pPr>
            <w:r w:rsidRPr="00464812">
              <w:t>Wael Maged Badawy</w:t>
            </w:r>
            <w:r w:rsidRPr="00464812">
              <w:br/>
            </w:r>
          </w:p>
          <w:p w14:paraId="20DE1454" w14:textId="267DC274" w:rsidR="00EE7CE3" w:rsidRPr="00464812" w:rsidRDefault="00EE7CE3" w:rsidP="00BE3BAD">
            <w:pPr>
              <w:pStyle w:val="SCCLsocPartyRole"/>
            </w:pPr>
            <w:r w:rsidRPr="00464812">
              <w:t>Demandeur</w:t>
            </w:r>
            <w:r w:rsidRPr="00464812">
              <w:br/>
            </w:r>
          </w:p>
          <w:p w14:paraId="20DE1455" w14:textId="77777777" w:rsidR="00EE7CE3" w:rsidRPr="00464812" w:rsidRDefault="00EE7CE3">
            <w:pPr>
              <w:pStyle w:val="SCCLsocVersus"/>
            </w:pPr>
            <w:r w:rsidRPr="00464812">
              <w:t>- et –</w:t>
            </w:r>
          </w:p>
          <w:p w14:paraId="20DE1456" w14:textId="4199B442" w:rsidR="00DF1C4D" w:rsidRPr="00464812" w:rsidRDefault="00DF1C4D">
            <w:pPr>
              <w:pStyle w:val="SCCLsocVersus"/>
            </w:pPr>
          </w:p>
          <w:p w14:paraId="20DE1457" w14:textId="209488C7" w:rsidR="00DF1C4D" w:rsidRPr="00BE3BAD" w:rsidRDefault="00EE7CE3">
            <w:pPr>
              <w:pStyle w:val="SCCLsocParty"/>
              <w:rPr>
                <w:sz w:val="20"/>
              </w:rPr>
            </w:pPr>
            <w:r>
              <w:t xml:space="preserve">Zeinab Hassanein, Fatima Alashmawi </w:t>
            </w:r>
            <w:r w:rsidR="00DD68A8">
              <w:t>alias</w:t>
            </w:r>
            <w:r>
              <w:t xml:space="preserve"> Fatima Rady, Safia Rady, Mohammed Hamdy</w:t>
            </w:r>
            <w:r w:rsidR="00D55E12">
              <w:t xml:space="preserve"> et</w:t>
            </w:r>
            <w:r>
              <w:t xml:space="preserve"> Ghada Nafie</w:t>
            </w:r>
            <w:r>
              <w:br/>
            </w:r>
          </w:p>
          <w:p w14:paraId="20DE1459" w14:textId="45402BFB" w:rsidR="00DF1C4D" w:rsidRDefault="00EE7CE3" w:rsidP="00BE3BAD">
            <w:pPr>
              <w:pStyle w:val="SCCLsocPartyRole"/>
            </w:pPr>
            <w:r>
              <w:t>In</w:t>
            </w:r>
            <w:r w:rsidR="00BE3BAD">
              <w:t>t</w:t>
            </w:r>
            <w:r>
              <w:t>imés</w:t>
            </w:r>
          </w:p>
        </w:tc>
      </w:tr>
      <w:tr w:rsidR="00824412" w:rsidRPr="006E7BAE" w14:paraId="20DE145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DE145B" w14:textId="77777777" w:rsidR="00824412" w:rsidRPr="00BE3BAD" w:rsidRDefault="00824412" w:rsidP="00375294">
            <w:pPr>
              <w:rPr>
                <w:sz w:val="20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DE145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DE145D" w14:textId="77777777" w:rsidR="00824412" w:rsidRPr="00BE3BAD" w:rsidRDefault="00824412" w:rsidP="00B408F8">
            <w:pPr>
              <w:rPr>
                <w:sz w:val="20"/>
                <w:lang w:val="en-US"/>
              </w:rPr>
            </w:pPr>
          </w:p>
        </w:tc>
      </w:tr>
      <w:tr w:rsidR="00824412" w:rsidRPr="00FD2FA8" w14:paraId="20DE146A" w14:textId="77777777" w:rsidTr="00BE3BAD">
        <w:trPr>
          <w:trHeight w:val="3128"/>
        </w:trPr>
        <w:tc>
          <w:tcPr>
            <w:tcW w:w="2269" w:type="pct"/>
          </w:tcPr>
          <w:p w14:paraId="20DE145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0DE1460" w14:textId="77777777" w:rsidR="00824412" w:rsidRPr="00BE3BAD" w:rsidRDefault="00824412" w:rsidP="00417FB7">
            <w:pPr>
              <w:jc w:val="center"/>
              <w:rPr>
                <w:sz w:val="20"/>
              </w:rPr>
            </w:pPr>
          </w:p>
          <w:p w14:paraId="20DE1461" w14:textId="7C3D6D22" w:rsidR="00824412" w:rsidRPr="006E7BAE" w:rsidRDefault="00824412" w:rsidP="00FD2FA8">
            <w:pPr>
              <w:jc w:val="both"/>
            </w:pPr>
            <w:r w:rsidRPr="006E7BAE">
              <w:t xml:space="preserve">The </w:t>
            </w:r>
            <w:r w:rsidR="00BC65F0">
              <w:t xml:space="preserve">motion for an extension of time to serve and file the application for </w:t>
            </w:r>
            <w:r w:rsidR="00011960" w:rsidRPr="006E7BAE">
              <w:t xml:space="preserve">leave to appeal </w:t>
            </w:r>
            <w:r w:rsidR="00BC65F0">
              <w:t xml:space="preserve">is granted. The </w:t>
            </w:r>
            <w:r w:rsidR="00FD2FA8">
              <w:t>request</w:t>
            </w:r>
            <w:r w:rsidR="00BC65F0">
              <w:t xml:space="preserve"> to add</w:t>
            </w:r>
            <w:r w:rsidR="007A2D90">
              <w:t xml:space="preserve"> a p</w:t>
            </w:r>
            <w:r w:rsidR="00BC65F0">
              <w:t>a</w:t>
            </w:r>
            <w:r w:rsidR="007A2D90">
              <w:t>rty is dismissed. The application for leave to appeal</w:t>
            </w:r>
            <w:r w:rsidR="00BC65F0">
              <w:t xml:space="preserve">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1401-0030-AC, 2016 ABCA 42</w:t>
            </w:r>
            <w:r w:rsidRPr="006E7BAE">
              <w:t xml:space="preserve">, dated </w:t>
            </w:r>
            <w:r>
              <w:t>February 18, 2016</w:t>
            </w:r>
            <w:r w:rsidR="00BC65F0">
              <w:t>,</w:t>
            </w:r>
            <w:r w:rsidRPr="006E7BAE">
              <w:t xml:space="preserve"> </w:t>
            </w:r>
            <w:r w:rsidR="007A2D90">
              <w:t>is dismissed with costs.</w:t>
            </w:r>
            <w:r w:rsidRPr="006E7BAE">
              <w:t xml:space="preserve"> </w:t>
            </w:r>
          </w:p>
        </w:tc>
        <w:tc>
          <w:tcPr>
            <w:tcW w:w="381" w:type="pct"/>
          </w:tcPr>
          <w:p w14:paraId="20DE146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0DE1463" w14:textId="77777777" w:rsidR="00824412" w:rsidRPr="00464812" w:rsidRDefault="00824412" w:rsidP="00C2612E">
            <w:pPr>
              <w:jc w:val="center"/>
              <w:rPr>
                <w:lang w:val="fr-CA"/>
              </w:rPr>
            </w:pPr>
            <w:r w:rsidRPr="00464812">
              <w:rPr>
                <w:lang w:val="fr-CA"/>
              </w:rPr>
              <w:t>JUGEMENT</w:t>
            </w:r>
          </w:p>
          <w:p w14:paraId="20DE1464" w14:textId="77777777" w:rsidR="00824412" w:rsidRPr="00BE3BAD" w:rsidRDefault="00824412" w:rsidP="00417FB7">
            <w:pPr>
              <w:jc w:val="center"/>
              <w:rPr>
                <w:sz w:val="20"/>
                <w:lang w:val="fr-CA"/>
              </w:rPr>
            </w:pPr>
          </w:p>
          <w:p w14:paraId="20DE1466" w14:textId="0A008C56" w:rsidR="00EE7CE3" w:rsidRDefault="00824412" w:rsidP="00BC65F0">
            <w:pPr>
              <w:jc w:val="both"/>
              <w:rPr>
                <w:lang w:val="fr-CA"/>
              </w:rPr>
            </w:pPr>
            <w:r w:rsidRPr="007A2D90">
              <w:rPr>
                <w:lang w:val="fr-CA"/>
              </w:rPr>
              <w:t>L</w:t>
            </w:r>
            <w:r w:rsidR="00011960" w:rsidRPr="007A2D90">
              <w:rPr>
                <w:lang w:val="fr-CA"/>
              </w:rPr>
              <w:t xml:space="preserve">a </w:t>
            </w:r>
            <w:r w:rsidR="007A2D90" w:rsidRPr="007A2D90">
              <w:rPr>
                <w:lang w:val="fr-CA"/>
              </w:rPr>
              <w:t>requ</w:t>
            </w:r>
            <w:r w:rsidR="007A2D90">
              <w:rPr>
                <w:lang w:val="fr-CA"/>
              </w:rPr>
              <w:t xml:space="preserve">ête </w:t>
            </w:r>
            <w:r w:rsidR="00EE7CE3">
              <w:rPr>
                <w:lang w:val="fr-CA"/>
              </w:rPr>
              <w:t xml:space="preserve">en prorogation du délai de signification et de dépôt de la demande d’autorisation d’appel est accueillie. La </w:t>
            </w:r>
            <w:r w:rsidR="00FD2FA8">
              <w:rPr>
                <w:lang w:val="fr-CA"/>
              </w:rPr>
              <w:t>demande</w:t>
            </w:r>
            <w:r w:rsidR="00EE7CE3">
              <w:rPr>
                <w:lang w:val="fr-CA"/>
              </w:rPr>
              <w:t xml:space="preserve"> en vue d’ajouter une partie est rejetée. La </w:t>
            </w:r>
            <w:r w:rsidR="00011960" w:rsidRPr="007A2D90">
              <w:rPr>
                <w:lang w:val="fr-CA"/>
              </w:rPr>
              <w:t>demande d’autorisation d’appel de l’arrêt de la</w:t>
            </w:r>
            <w:r w:rsidRPr="007A2D90">
              <w:rPr>
                <w:lang w:val="fr-CA"/>
              </w:rPr>
              <w:t xml:space="preserve"> </w:t>
            </w:r>
            <w:r w:rsidR="00BC65F0" w:rsidRPr="007A2D90">
              <w:rPr>
                <w:lang w:val="fr-CA"/>
              </w:rPr>
              <w:t>Cour d’</w:t>
            </w:r>
            <w:r w:rsidRPr="007A2D90">
              <w:rPr>
                <w:lang w:val="fr-CA"/>
              </w:rPr>
              <w:t>appel de l’Alberta (Calgary), numéro 1401-0030-</w:t>
            </w:r>
            <w:r w:rsidRPr="00D55E12">
              <w:rPr>
                <w:lang w:val="fr-CA"/>
              </w:rPr>
              <w:t>AC, 2016 ABCA 42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55E12">
              <w:rPr>
                <w:lang w:val="fr-CA"/>
              </w:rPr>
              <w:t>18 février 2016</w:t>
            </w:r>
            <w:r w:rsidRPr="006E7BAE">
              <w:rPr>
                <w:lang w:val="fr-CA"/>
              </w:rPr>
              <w:t xml:space="preserve">, est </w:t>
            </w:r>
            <w:r w:rsidR="00EE7CE3">
              <w:rPr>
                <w:lang w:val="fr-CA"/>
              </w:rPr>
              <w:t>rejetée avec dépens.</w:t>
            </w:r>
          </w:p>
          <w:p w14:paraId="20DE1467" w14:textId="77777777" w:rsidR="00EE7CE3" w:rsidRDefault="00EE7CE3" w:rsidP="00BC65F0">
            <w:pPr>
              <w:jc w:val="both"/>
              <w:rPr>
                <w:lang w:val="fr-CA"/>
              </w:rPr>
            </w:pPr>
          </w:p>
          <w:p w14:paraId="20DE1468" w14:textId="77777777" w:rsidR="00EE7CE3" w:rsidRDefault="00EE7CE3" w:rsidP="00BC65F0">
            <w:pPr>
              <w:jc w:val="both"/>
              <w:rPr>
                <w:lang w:val="fr-CA"/>
              </w:rPr>
            </w:pPr>
          </w:p>
          <w:p w14:paraId="20DE1469" w14:textId="77777777" w:rsidR="00EE7CE3" w:rsidRPr="006E7BAE" w:rsidRDefault="00EE7CE3" w:rsidP="00BC65F0">
            <w:pPr>
              <w:jc w:val="both"/>
              <w:rPr>
                <w:lang w:val="fr-CA"/>
              </w:rPr>
            </w:pPr>
          </w:p>
        </w:tc>
      </w:tr>
    </w:tbl>
    <w:p w14:paraId="20DE146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0DE146D" w14:textId="77777777" w:rsidR="003A37CF" w:rsidRPr="00D83B8C" w:rsidRDefault="003A37CF" w:rsidP="00BC65F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C65F0" w:rsidRPr="00D83B8C">
        <w:rPr>
          <w:lang w:val="fr-CA"/>
        </w:rPr>
        <w:t xml:space="preserve"> </w:t>
      </w:r>
    </w:p>
    <w:sectPr w:rsidR="003A37CF" w:rsidRPr="00D83B8C" w:rsidSect="00BE3BAD">
      <w:headerReference w:type="default" r:id="rId9"/>
      <w:pgSz w:w="12240" w:h="15840"/>
      <w:pgMar w:top="1440" w:right="1440" w:bottom="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E1470" w14:textId="77777777" w:rsidR="00B328CD" w:rsidRDefault="00B328CD">
      <w:r>
        <w:separator/>
      </w:r>
    </w:p>
  </w:endnote>
  <w:endnote w:type="continuationSeparator" w:id="0">
    <w:p w14:paraId="20DE147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E146E" w14:textId="77777777" w:rsidR="00B328CD" w:rsidRDefault="00B328CD">
      <w:r>
        <w:separator/>
      </w:r>
    </w:p>
  </w:footnote>
  <w:footnote w:type="continuationSeparator" w:id="0">
    <w:p w14:paraId="20DE146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E147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E3BA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0DE1473" w14:textId="77777777" w:rsidR="008F53F3" w:rsidRDefault="008F53F3" w:rsidP="008F53F3">
    <w:pPr>
      <w:rPr>
        <w:szCs w:val="24"/>
      </w:rPr>
    </w:pPr>
  </w:p>
  <w:p w14:paraId="20DE1474" w14:textId="77777777" w:rsidR="008F53F3" w:rsidRDefault="008F53F3" w:rsidP="008F53F3">
    <w:pPr>
      <w:rPr>
        <w:szCs w:val="24"/>
      </w:rPr>
    </w:pPr>
  </w:p>
  <w:p w14:paraId="20DE147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36961</w:t>
    </w:r>
    <w:r>
      <w:rPr>
        <w:szCs w:val="24"/>
      </w:rPr>
      <w:t>     </w:t>
    </w:r>
  </w:p>
  <w:p w14:paraId="20DE147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33DA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4812"/>
    <w:rsid w:val="004943CF"/>
    <w:rsid w:val="004956DA"/>
    <w:rsid w:val="004D4658"/>
    <w:rsid w:val="0055345D"/>
    <w:rsid w:val="00563E2C"/>
    <w:rsid w:val="00587869"/>
    <w:rsid w:val="00612913"/>
    <w:rsid w:val="00614908"/>
    <w:rsid w:val="00647E64"/>
    <w:rsid w:val="00650109"/>
    <w:rsid w:val="006E7BAE"/>
    <w:rsid w:val="00701109"/>
    <w:rsid w:val="007372EA"/>
    <w:rsid w:val="00777612"/>
    <w:rsid w:val="0079129C"/>
    <w:rsid w:val="007917FE"/>
    <w:rsid w:val="007A2D90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3112C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C65F0"/>
    <w:rsid w:val="00BD4E4C"/>
    <w:rsid w:val="00BE3BAD"/>
    <w:rsid w:val="00BF7644"/>
    <w:rsid w:val="00C1285B"/>
    <w:rsid w:val="00C173B0"/>
    <w:rsid w:val="00C17F71"/>
    <w:rsid w:val="00C2612E"/>
    <w:rsid w:val="00CE249F"/>
    <w:rsid w:val="00CF17D0"/>
    <w:rsid w:val="00D01A66"/>
    <w:rsid w:val="00D42339"/>
    <w:rsid w:val="00D55E12"/>
    <w:rsid w:val="00D61AC2"/>
    <w:rsid w:val="00D83B8C"/>
    <w:rsid w:val="00DA4281"/>
    <w:rsid w:val="00DB1ADC"/>
    <w:rsid w:val="00DD68A8"/>
    <w:rsid w:val="00DF1C4D"/>
    <w:rsid w:val="00E12A51"/>
    <w:rsid w:val="00E736B9"/>
    <w:rsid w:val="00E777AD"/>
    <w:rsid w:val="00EA4B61"/>
    <w:rsid w:val="00ED512F"/>
    <w:rsid w:val="00EE2A6C"/>
    <w:rsid w:val="00EE7CE3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2FA8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0DE1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3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3DA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3DA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11283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2016-11-10T05:00:00+00:00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Moldaver,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B6537B7-5A36-431E-97C3-7EEAEABD8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68385E-3C18-41C4-894B-71F970BE7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574D0-E76E-44B1-964C-2102A2F981A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2016-11-09T18:09:00Z</dcterms:created>
  <dcterms:modified xsi:type="dcterms:W3CDTF">2016-11-09T18:09:00Z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