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A795" w14:textId="77777777" w:rsidR="009F436C" w:rsidRDefault="009F436C" w:rsidP="00382FEC"/>
    <w:p w14:paraId="396CA796" w14:textId="77777777" w:rsidR="00EF4EF2" w:rsidRPr="001E26DB" w:rsidRDefault="00EF4EF2" w:rsidP="00382FEC"/>
    <w:p w14:paraId="396CA797" w14:textId="77777777" w:rsidR="009F436C" w:rsidRPr="001E26DB" w:rsidRDefault="009F436C" w:rsidP="00382FEC"/>
    <w:p w14:paraId="396CA798" w14:textId="77777777" w:rsidR="009F436C" w:rsidRDefault="009F436C" w:rsidP="00382FEC"/>
    <w:p w14:paraId="396CA799" w14:textId="77777777" w:rsidR="002C29B6" w:rsidRDefault="002C29B6" w:rsidP="00382FEC"/>
    <w:p w14:paraId="396CA79E" w14:textId="77777777" w:rsidR="009F436C" w:rsidRPr="001E26DB" w:rsidRDefault="009F436C" w:rsidP="00382FEC"/>
    <w:p w14:paraId="396CA79F" w14:textId="77777777" w:rsidR="009F436C" w:rsidRDefault="009F436C" w:rsidP="00382FEC"/>
    <w:p w14:paraId="5AD001E6" w14:textId="77777777" w:rsidR="00C7112B" w:rsidRPr="001E26DB" w:rsidRDefault="00C7112B" w:rsidP="00382FEC"/>
    <w:p w14:paraId="396CA7A0" w14:textId="77777777" w:rsidR="009F436C" w:rsidRPr="001E26DB" w:rsidRDefault="009F436C" w:rsidP="00382FEC"/>
    <w:p w14:paraId="396CA7A1"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37320</w:t>
      </w:r>
      <w:r w:rsidR="00E81C0B" w:rsidRPr="001E26DB">
        <w:t>     </w:t>
      </w:r>
    </w:p>
    <w:p w14:paraId="396CA7A2" w14:textId="77777777" w:rsidR="009F436C" w:rsidRPr="001E26DB" w:rsidRDefault="009F436C" w:rsidP="00382FEC"/>
    <w:p w14:paraId="396CA7A3" w14:textId="77777777" w:rsidR="003C744C" w:rsidRPr="001E26DB" w:rsidRDefault="003C744C" w:rsidP="00382FEC"/>
    <w:tbl>
      <w:tblPr>
        <w:tblW w:w="5096" w:type="pct"/>
        <w:tblInd w:w="-180" w:type="dxa"/>
        <w:tblLayout w:type="fixed"/>
        <w:tblCellMar>
          <w:top w:w="58" w:type="dxa"/>
          <w:left w:w="58" w:type="dxa"/>
          <w:bottom w:w="58" w:type="dxa"/>
          <w:right w:w="58" w:type="dxa"/>
        </w:tblCellMar>
        <w:tblLook w:val="0000" w:firstRow="0" w:lastRow="0" w:firstColumn="0" w:lastColumn="0" w:noHBand="0" w:noVBand="0"/>
      </w:tblPr>
      <w:tblGrid>
        <w:gridCol w:w="4428"/>
        <w:gridCol w:w="714"/>
        <w:gridCol w:w="4398"/>
      </w:tblGrid>
      <w:tr w:rsidR="00417FB7" w:rsidRPr="00F67F03" w14:paraId="396CA7A7" w14:textId="77777777" w:rsidTr="00263D70">
        <w:tc>
          <w:tcPr>
            <w:tcW w:w="2321" w:type="pct"/>
          </w:tcPr>
          <w:p w14:paraId="396CA7A4" w14:textId="77777777" w:rsidR="00417FB7" w:rsidRPr="001E26DB" w:rsidRDefault="006475C8" w:rsidP="008262A3">
            <w:r>
              <w:t>Le 22 décembre 2016</w:t>
            </w:r>
          </w:p>
        </w:tc>
        <w:tc>
          <w:tcPr>
            <w:tcW w:w="374" w:type="pct"/>
          </w:tcPr>
          <w:p w14:paraId="396CA7A5" w14:textId="77777777" w:rsidR="00417FB7" w:rsidRPr="001E26DB" w:rsidRDefault="00417FB7" w:rsidP="00382FEC"/>
        </w:tc>
        <w:tc>
          <w:tcPr>
            <w:tcW w:w="2306" w:type="pct"/>
          </w:tcPr>
          <w:p w14:paraId="396CA7A6" w14:textId="77777777" w:rsidR="00417FB7" w:rsidRPr="001E26DB" w:rsidRDefault="006475C8" w:rsidP="0027081E">
            <w:pPr>
              <w:rPr>
                <w:lang w:val="en-CA"/>
              </w:rPr>
            </w:pPr>
            <w:r>
              <w:t>December 22, 2016</w:t>
            </w:r>
          </w:p>
        </w:tc>
      </w:tr>
      <w:tr w:rsidR="00E12A51" w:rsidRPr="00F67F03" w14:paraId="396CA7AB" w14:textId="77777777" w:rsidTr="00263D70">
        <w:tc>
          <w:tcPr>
            <w:tcW w:w="2321" w:type="pct"/>
            <w:tcMar>
              <w:top w:w="0" w:type="dxa"/>
              <w:bottom w:w="0" w:type="dxa"/>
            </w:tcMar>
          </w:tcPr>
          <w:p w14:paraId="396CA7A8" w14:textId="77777777" w:rsidR="00C2612E" w:rsidRPr="002C29B6" w:rsidRDefault="00C2612E" w:rsidP="008262A3">
            <w:pPr>
              <w:rPr>
                <w:lang w:val="en-US"/>
              </w:rPr>
            </w:pPr>
          </w:p>
        </w:tc>
        <w:tc>
          <w:tcPr>
            <w:tcW w:w="374" w:type="pct"/>
            <w:tcMar>
              <w:top w:w="0" w:type="dxa"/>
              <w:bottom w:w="0" w:type="dxa"/>
            </w:tcMar>
          </w:tcPr>
          <w:p w14:paraId="396CA7A9" w14:textId="77777777" w:rsidR="00E12A51" w:rsidRPr="002C29B6" w:rsidRDefault="00E12A51" w:rsidP="00382FEC">
            <w:pPr>
              <w:rPr>
                <w:lang w:val="en-US"/>
              </w:rPr>
            </w:pPr>
          </w:p>
        </w:tc>
        <w:tc>
          <w:tcPr>
            <w:tcW w:w="2306" w:type="pct"/>
            <w:tcMar>
              <w:top w:w="0" w:type="dxa"/>
              <w:bottom w:w="0" w:type="dxa"/>
            </w:tcMar>
          </w:tcPr>
          <w:p w14:paraId="396CA7AA" w14:textId="77777777" w:rsidR="00E12A51" w:rsidRPr="001E26DB" w:rsidRDefault="00E12A51" w:rsidP="00816B78">
            <w:pPr>
              <w:rPr>
                <w:lang w:val="en-CA"/>
              </w:rPr>
            </w:pPr>
          </w:p>
        </w:tc>
      </w:tr>
      <w:tr w:rsidR="00417FB7" w:rsidRPr="008B351E" w14:paraId="396CA7AF" w14:textId="77777777" w:rsidTr="00263D70">
        <w:tc>
          <w:tcPr>
            <w:tcW w:w="2321" w:type="pct"/>
          </w:tcPr>
          <w:p w14:paraId="396CA7AC" w14:textId="77777777" w:rsidR="00417FB7" w:rsidRPr="001E26DB" w:rsidRDefault="00417FB7" w:rsidP="007F41D5">
            <w:r w:rsidRPr="001E26DB">
              <w:t>Coram</w:t>
            </w:r>
            <w:r w:rsidR="007F41D5" w:rsidRPr="001E26DB">
              <w:t> </w:t>
            </w:r>
            <w:r w:rsidRPr="001E26DB">
              <w:t xml:space="preserve">: </w:t>
            </w:r>
            <w:r>
              <w:t>La juge en chef McLachlin et les juges Wagner et Gascon</w:t>
            </w:r>
          </w:p>
        </w:tc>
        <w:tc>
          <w:tcPr>
            <w:tcW w:w="374" w:type="pct"/>
          </w:tcPr>
          <w:p w14:paraId="396CA7AD" w14:textId="77777777" w:rsidR="00417FB7" w:rsidRPr="001E26DB" w:rsidRDefault="00417FB7" w:rsidP="00382FEC"/>
        </w:tc>
        <w:tc>
          <w:tcPr>
            <w:tcW w:w="2306" w:type="pct"/>
          </w:tcPr>
          <w:p w14:paraId="396CA7AE" w14:textId="77777777"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263D70">
              <w:rPr>
                <w:lang w:val="en-CA"/>
              </w:rPr>
              <w:t>McLachlin C.J. and Wagner and Gascon JJ.</w:t>
            </w:r>
          </w:p>
        </w:tc>
      </w:tr>
      <w:tr w:rsidR="00C2612E" w:rsidRPr="008B351E" w14:paraId="396CA7B3" w14:textId="77777777" w:rsidTr="00263D70">
        <w:tc>
          <w:tcPr>
            <w:tcW w:w="2321" w:type="pct"/>
            <w:tcMar>
              <w:top w:w="0" w:type="dxa"/>
              <w:bottom w:w="0" w:type="dxa"/>
            </w:tcMar>
          </w:tcPr>
          <w:p w14:paraId="396CA7B0" w14:textId="77777777" w:rsidR="00C2612E" w:rsidRPr="00263D70" w:rsidRDefault="00C2612E" w:rsidP="008262A3">
            <w:pPr>
              <w:rPr>
                <w:lang w:val="en-CA"/>
              </w:rPr>
            </w:pPr>
          </w:p>
        </w:tc>
        <w:tc>
          <w:tcPr>
            <w:tcW w:w="374" w:type="pct"/>
            <w:tcMar>
              <w:top w:w="0" w:type="dxa"/>
              <w:bottom w:w="0" w:type="dxa"/>
            </w:tcMar>
          </w:tcPr>
          <w:p w14:paraId="396CA7B1" w14:textId="77777777" w:rsidR="00C2612E" w:rsidRPr="00263D70" w:rsidRDefault="00C2612E" w:rsidP="00382FEC">
            <w:pPr>
              <w:rPr>
                <w:lang w:val="en-CA"/>
              </w:rPr>
            </w:pPr>
          </w:p>
        </w:tc>
        <w:tc>
          <w:tcPr>
            <w:tcW w:w="2306" w:type="pct"/>
            <w:tcMar>
              <w:top w:w="0" w:type="dxa"/>
              <w:bottom w:w="0" w:type="dxa"/>
            </w:tcMar>
          </w:tcPr>
          <w:p w14:paraId="396CA7B2" w14:textId="77777777" w:rsidR="00C2612E" w:rsidRPr="001E26DB" w:rsidRDefault="00C2612E" w:rsidP="00382FEC">
            <w:pPr>
              <w:rPr>
                <w:lang w:val="en-CA"/>
              </w:rPr>
            </w:pPr>
          </w:p>
        </w:tc>
      </w:tr>
      <w:tr w:rsidR="00824412" w:rsidRPr="00F67F03" w14:paraId="396CA7C7" w14:textId="77777777" w:rsidTr="00263D70">
        <w:tc>
          <w:tcPr>
            <w:tcW w:w="2321" w:type="pct"/>
          </w:tcPr>
          <w:p w14:paraId="396CA7B4" w14:textId="4E361419" w:rsidR="007F43B2" w:rsidRDefault="00263D70">
            <w:pPr>
              <w:pStyle w:val="SCCLsocPrefix"/>
            </w:pPr>
            <w:r>
              <w:t>ENTRE :</w:t>
            </w:r>
          </w:p>
          <w:p w14:paraId="6F48FC50" w14:textId="77777777" w:rsidR="003F7469" w:rsidRDefault="003F7469" w:rsidP="00A0171A">
            <w:pPr>
              <w:jc w:val="center"/>
            </w:pPr>
          </w:p>
          <w:p w14:paraId="6010EDD9" w14:textId="72C03158" w:rsidR="00A0171A" w:rsidRDefault="003F7469" w:rsidP="003F7469">
            <w:pPr>
              <w:jc w:val="center"/>
            </w:pPr>
            <w:r>
              <w:t xml:space="preserve"> </w:t>
            </w:r>
            <w:r w:rsidR="00352A2A">
              <w:t>Pierre-Michel Lajeunesse</w:t>
            </w:r>
            <w:r w:rsidR="00A0171A">
              <w:t xml:space="preserve">, </w:t>
            </w:r>
            <w:r w:rsidR="00352A2A">
              <w:t>Annick Marcoux</w:t>
            </w:r>
            <w:r w:rsidR="00A0171A">
              <w:t xml:space="preserve"> et </w:t>
            </w:r>
            <w:r w:rsidR="00352A2A">
              <w:t>Les avocats et notaires de l’État</w:t>
            </w:r>
          </w:p>
          <w:p w14:paraId="2DB290A5" w14:textId="048188C2" w:rsidR="00352A2A" w:rsidRPr="00352A2A" w:rsidRDefault="00352A2A" w:rsidP="00A0171A">
            <w:pPr>
              <w:jc w:val="center"/>
            </w:pPr>
            <w:r>
              <w:t>québécois</w:t>
            </w:r>
            <w:r>
              <w:br/>
            </w:r>
          </w:p>
          <w:p w14:paraId="396CA7B6" w14:textId="77777777" w:rsidR="007F43B2" w:rsidRDefault="00263D70">
            <w:pPr>
              <w:pStyle w:val="SCCLsocPartyRole"/>
            </w:pPr>
            <w:r>
              <w:t>Demandeurs</w:t>
            </w:r>
            <w:r>
              <w:br/>
            </w:r>
          </w:p>
          <w:p w14:paraId="396CA7B7" w14:textId="77777777" w:rsidR="007F43B2" w:rsidRDefault="00263D70">
            <w:pPr>
              <w:pStyle w:val="SCCLsocVersus"/>
            </w:pPr>
            <w:r>
              <w:t>- et -</w:t>
            </w:r>
            <w:r>
              <w:br/>
            </w:r>
          </w:p>
          <w:p w14:paraId="6E8E8D65" w14:textId="77777777" w:rsidR="003F7469" w:rsidRDefault="00263D70" w:rsidP="00A0171A">
            <w:pPr>
              <w:pStyle w:val="SCCLsocParty"/>
            </w:pPr>
            <w:r>
              <w:t>9069-4654 Québec inc.</w:t>
            </w:r>
          </w:p>
          <w:p w14:paraId="7DA7BA52" w14:textId="77777777" w:rsidR="003F7469" w:rsidRDefault="003F7469" w:rsidP="003F7469"/>
          <w:p w14:paraId="26A3E24A" w14:textId="58E9B2A2" w:rsidR="003F7469" w:rsidRDefault="003F7469" w:rsidP="003F7469">
            <w:pPr>
              <w:jc w:val="center"/>
            </w:pPr>
            <w:r>
              <w:t>Intimée</w:t>
            </w:r>
          </w:p>
          <w:p w14:paraId="679C3E3A" w14:textId="77777777" w:rsidR="003F7469" w:rsidRDefault="003F7469" w:rsidP="003F7469">
            <w:pPr>
              <w:jc w:val="center"/>
            </w:pPr>
          </w:p>
          <w:p w14:paraId="700C17E0" w14:textId="1AFCE04B" w:rsidR="003F7469" w:rsidRPr="003F7469" w:rsidRDefault="003F7469" w:rsidP="003F7469">
            <w:pPr>
              <w:jc w:val="center"/>
            </w:pPr>
            <w:r>
              <w:t>- et -</w:t>
            </w:r>
          </w:p>
          <w:p w14:paraId="611D0A7D" w14:textId="77777777" w:rsidR="003F7469" w:rsidRDefault="003F7469" w:rsidP="00A0171A">
            <w:pPr>
              <w:pStyle w:val="SCCLsocParty"/>
            </w:pPr>
          </w:p>
          <w:p w14:paraId="396CA7B8" w14:textId="6DD3602A" w:rsidR="007F43B2" w:rsidRDefault="00A0171A" w:rsidP="00A0171A">
            <w:pPr>
              <w:pStyle w:val="SCCLsocParty"/>
            </w:pPr>
            <w:r>
              <w:t xml:space="preserve"> </w:t>
            </w:r>
            <w:r w:rsidR="00352A2A">
              <w:t>Tribunal administratif du travail (anciennement connu sous le nom de Commission des lésions professionnelles)</w:t>
            </w:r>
            <w:r>
              <w:t xml:space="preserve"> et </w:t>
            </w:r>
            <w:r w:rsidR="00352A2A">
              <w:t>Commission des normes, de l’équité, de la santé et de la sécurité du travail (anciennement connue sous le nom de Commission de la santé et de la sécurité du travail)</w:t>
            </w:r>
            <w:r w:rsidR="00352A2A">
              <w:br/>
            </w:r>
            <w:r w:rsidR="00263D70">
              <w:br/>
            </w:r>
          </w:p>
          <w:p w14:paraId="396CA7BB" w14:textId="514096B5" w:rsidR="007F43B2" w:rsidRDefault="00352A2A" w:rsidP="00A0171A">
            <w:pPr>
              <w:pStyle w:val="SCCLsocVersus"/>
            </w:pPr>
            <w:r>
              <w:t>Intervenants</w:t>
            </w:r>
          </w:p>
          <w:p w14:paraId="396CA7BC" w14:textId="214936BE" w:rsidR="007F43B2" w:rsidRDefault="007F43B2">
            <w:pPr>
              <w:pStyle w:val="SCCLsocPartyRole"/>
            </w:pPr>
          </w:p>
        </w:tc>
        <w:tc>
          <w:tcPr>
            <w:tcW w:w="374" w:type="pct"/>
          </w:tcPr>
          <w:p w14:paraId="396CA7BD" w14:textId="77777777" w:rsidR="00824412" w:rsidRPr="003F7469" w:rsidRDefault="00824412" w:rsidP="00375294"/>
        </w:tc>
        <w:tc>
          <w:tcPr>
            <w:tcW w:w="2306" w:type="pct"/>
          </w:tcPr>
          <w:p w14:paraId="396CA7BE" w14:textId="0BADE458" w:rsidR="007F43B2" w:rsidRPr="003F7469" w:rsidRDefault="00263D70">
            <w:pPr>
              <w:pStyle w:val="SCCLsocPrefix"/>
            </w:pPr>
            <w:r w:rsidRPr="003F7469">
              <w:t>BETWEEN:</w:t>
            </w:r>
          </w:p>
          <w:p w14:paraId="09DC9B93" w14:textId="77777777" w:rsidR="003F7469" w:rsidRDefault="003F7469" w:rsidP="00A0171A">
            <w:pPr>
              <w:pStyle w:val="SCCLsocParty"/>
            </w:pPr>
          </w:p>
          <w:p w14:paraId="396CA7BF" w14:textId="036E9277" w:rsidR="007F43B2" w:rsidRDefault="003F7469" w:rsidP="00A0171A">
            <w:pPr>
              <w:pStyle w:val="SCCLsocParty"/>
            </w:pPr>
            <w:r>
              <w:t xml:space="preserve"> </w:t>
            </w:r>
            <w:r w:rsidR="00A0171A">
              <w:t>Pierre-Michel Lajeunesse, Annick Marcoux</w:t>
            </w:r>
            <w:r w:rsidR="00E3700E">
              <w:t xml:space="preserve"> and</w:t>
            </w:r>
            <w:r w:rsidR="00A0171A">
              <w:t xml:space="preserve"> </w:t>
            </w:r>
            <w:r w:rsidR="00352A2A">
              <w:t>L</w:t>
            </w:r>
            <w:r w:rsidR="00263D70">
              <w:t>es avocats</w:t>
            </w:r>
            <w:r w:rsidR="00A0171A">
              <w:t xml:space="preserve"> </w:t>
            </w:r>
            <w:r w:rsidR="00E3700E">
              <w:t>et</w:t>
            </w:r>
            <w:r w:rsidR="00263D70">
              <w:t xml:space="preserve"> notaires de l</w:t>
            </w:r>
            <w:r w:rsidR="00F57693">
              <w:t>’</w:t>
            </w:r>
            <w:r w:rsidR="00263D70">
              <w:t>État québécois</w:t>
            </w:r>
            <w:r w:rsidR="00263D70">
              <w:br/>
            </w:r>
          </w:p>
          <w:p w14:paraId="396CA7C0" w14:textId="77777777" w:rsidR="007F43B2" w:rsidRDefault="00263D70">
            <w:pPr>
              <w:pStyle w:val="SCCLsocPartyRole"/>
            </w:pPr>
            <w:r>
              <w:t>Applicants</w:t>
            </w:r>
            <w:r>
              <w:br/>
            </w:r>
          </w:p>
          <w:p w14:paraId="396CA7C1" w14:textId="77777777" w:rsidR="007F43B2" w:rsidRDefault="00263D70">
            <w:pPr>
              <w:pStyle w:val="SCCLsocVersus"/>
            </w:pPr>
            <w:r>
              <w:t>- and -</w:t>
            </w:r>
            <w:r>
              <w:br/>
            </w:r>
          </w:p>
          <w:p w14:paraId="32285885" w14:textId="77777777" w:rsidR="003F7469" w:rsidRDefault="00263D70" w:rsidP="00950758">
            <w:pPr>
              <w:pStyle w:val="SCCLsocParty"/>
            </w:pPr>
            <w:r>
              <w:t>9069-4654 Québec inc.</w:t>
            </w:r>
          </w:p>
          <w:p w14:paraId="35508347" w14:textId="77777777" w:rsidR="003F7469" w:rsidRDefault="003F7469" w:rsidP="003F7469"/>
          <w:p w14:paraId="6CC916F4" w14:textId="79828F84" w:rsidR="003F7469" w:rsidRDefault="003F7469" w:rsidP="003F7469">
            <w:pPr>
              <w:jc w:val="center"/>
            </w:pPr>
            <w:r>
              <w:t>Respondent</w:t>
            </w:r>
          </w:p>
          <w:p w14:paraId="20C8A4FB" w14:textId="77777777" w:rsidR="003F7469" w:rsidRDefault="003F7469" w:rsidP="003F7469">
            <w:pPr>
              <w:jc w:val="center"/>
            </w:pPr>
          </w:p>
          <w:p w14:paraId="4C6DE58F" w14:textId="39D57D56" w:rsidR="003F7469" w:rsidRPr="003F7469" w:rsidRDefault="003F7469" w:rsidP="003F7469">
            <w:pPr>
              <w:jc w:val="center"/>
            </w:pPr>
            <w:r>
              <w:t>- and -</w:t>
            </w:r>
          </w:p>
          <w:p w14:paraId="7E3B69E0" w14:textId="77777777" w:rsidR="003F7469" w:rsidRDefault="003F7469" w:rsidP="00950758">
            <w:pPr>
              <w:pStyle w:val="SCCLsocParty"/>
            </w:pPr>
          </w:p>
          <w:p w14:paraId="396CA7C5" w14:textId="3F800B36" w:rsidR="007F43B2" w:rsidRDefault="00950758" w:rsidP="00950758">
            <w:pPr>
              <w:pStyle w:val="SCCLsocParty"/>
            </w:pPr>
            <w:r>
              <w:t xml:space="preserve"> </w:t>
            </w:r>
            <w:r w:rsidR="00D6383E">
              <w:t xml:space="preserve">Tribunal administratif du travail </w:t>
            </w:r>
            <w:r w:rsidR="00263D70">
              <w:t>(formerly known as Commission des lésions professionnelle</w:t>
            </w:r>
            <w:r w:rsidR="00352A2A">
              <w:t>s)</w:t>
            </w:r>
            <w:r w:rsidR="00733231">
              <w:t xml:space="preserve"> </w:t>
            </w:r>
            <w:r w:rsidR="00A0171A">
              <w:t xml:space="preserve">and </w:t>
            </w:r>
            <w:r w:rsidR="00733231">
              <w:t>Commission des normes, de l’</w:t>
            </w:r>
            <w:r w:rsidR="00263D70">
              <w:t>équité, de la santé et de la sécurité du travail (formerly known as Commission de la santé et de la sécurité du travail)</w:t>
            </w:r>
            <w:r w:rsidR="00263D70">
              <w:br/>
            </w:r>
          </w:p>
          <w:p w14:paraId="739BB51E" w14:textId="77777777" w:rsidR="00950758" w:rsidRDefault="00950758" w:rsidP="00950758"/>
          <w:p w14:paraId="60DBE8F9" w14:textId="77777777" w:rsidR="003F7469" w:rsidRPr="00950758" w:rsidRDefault="003F7469" w:rsidP="00950758"/>
          <w:p w14:paraId="396CA7C6" w14:textId="77777777" w:rsidR="007F43B2" w:rsidRDefault="00263D70">
            <w:pPr>
              <w:pStyle w:val="SCCLsocPartyRole"/>
            </w:pPr>
            <w:r>
              <w:t>Interveners</w:t>
            </w:r>
          </w:p>
        </w:tc>
      </w:tr>
      <w:tr w:rsidR="00824412" w:rsidRPr="00F67F03" w14:paraId="396CA7CB" w14:textId="77777777" w:rsidTr="00263D70">
        <w:tc>
          <w:tcPr>
            <w:tcW w:w="2321" w:type="pct"/>
            <w:tcMar>
              <w:top w:w="0" w:type="dxa"/>
              <w:bottom w:w="0" w:type="dxa"/>
            </w:tcMar>
          </w:tcPr>
          <w:p w14:paraId="396CA7C8" w14:textId="4246F212" w:rsidR="00824412" w:rsidRPr="00961003" w:rsidRDefault="00824412" w:rsidP="00375294">
            <w:pPr>
              <w:rPr>
                <w:lang w:val="en-CA"/>
              </w:rPr>
            </w:pPr>
          </w:p>
        </w:tc>
        <w:tc>
          <w:tcPr>
            <w:tcW w:w="374" w:type="pct"/>
            <w:tcMar>
              <w:top w:w="0" w:type="dxa"/>
              <w:bottom w:w="0" w:type="dxa"/>
            </w:tcMar>
          </w:tcPr>
          <w:p w14:paraId="396CA7C9" w14:textId="77777777" w:rsidR="00824412" w:rsidRPr="002C29B6" w:rsidRDefault="00824412" w:rsidP="00375294">
            <w:pPr>
              <w:rPr>
                <w:lang w:val="en-US"/>
              </w:rPr>
            </w:pPr>
          </w:p>
        </w:tc>
        <w:tc>
          <w:tcPr>
            <w:tcW w:w="2306" w:type="pct"/>
            <w:tcMar>
              <w:top w:w="0" w:type="dxa"/>
              <w:bottom w:w="0" w:type="dxa"/>
            </w:tcMar>
          </w:tcPr>
          <w:p w14:paraId="396CA7CA" w14:textId="77777777" w:rsidR="00824412" w:rsidRPr="001E26DB" w:rsidRDefault="00824412" w:rsidP="00B408F8">
            <w:pPr>
              <w:rPr>
                <w:lang w:val="en-CA"/>
              </w:rPr>
            </w:pPr>
          </w:p>
        </w:tc>
      </w:tr>
      <w:tr w:rsidR="00824412" w:rsidRPr="008B351E" w14:paraId="396CA7D3" w14:textId="77777777" w:rsidTr="00263D70">
        <w:tc>
          <w:tcPr>
            <w:tcW w:w="2321" w:type="pct"/>
          </w:tcPr>
          <w:p w14:paraId="396CA7CC" w14:textId="77777777" w:rsidR="0027081E" w:rsidRPr="001E26DB" w:rsidRDefault="0027081E" w:rsidP="0027081E">
            <w:pPr>
              <w:jc w:val="center"/>
            </w:pPr>
            <w:r w:rsidRPr="001E26DB">
              <w:t>JUGEMENT</w:t>
            </w:r>
          </w:p>
          <w:p w14:paraId="396CA7CD" w14:textId="77777777" w:rsidR="0027081E" w:rsidRPr="001E26DB" w:rsidRDefault="0027081E" w:rsidP="0027081E">
            <w:pPr>
              <w:jc w:val="center"/>
            </w:pPr>
          </w:p>
          <w:p w14:paraId="30ECF5FE" w14:textId="77777777" w:rsidR="006D777E" w:rsidRDefault="006D777E" w:rsidP="006D777E">
            <w:pPr>
              <w:jc w:val="both"/>
            </w:pPr>
            <w:r w:rsidRPr="001E26DB">
              <w:t xml:space="preserve">La demande d’autorisation d’appel de l’arrêt de la </w:t>
            </w:r>
            <w:r>
              <w:t>Cour d’appel du Québec (Québec)</w:t>
            </w:r>
            <w:r w:rsidRPr="001E26DB">
              <w:t>, numéro</w:t>
            </w:r>
            <w:r>
              <w:t> 200-09-008909-159</w:t>
            </w:r>
            <w:r w:rsidRPr="001E26DB">
              <w:t xml:space="preserve">, daté du </w:t>
            </w:r>
            <w:r>
              <w:t>9 novembre 2016</w:t>
            </w:r>
            <w:r w:rsidRPr="001E26DB">
              <w:t xml:space="preserve">, est </w:t>
            </w:r>
            <w:r>
              <w:t>ac</w:t>
            </w:r>
            <w:r w:rsidRPr="00352A2A">
              <w:t>cueillie sans ordonnance relative aux dépens.</w:t>
            </w:r>
          </w:p>
          <w:p w14:paraId="0DA5F11C" w14:textId="77777777" w:rsidR="006D777E" w:rsidRDefault="006D777E" w:rsidP="006D777E">
            <w:pPr>
              <w:jc w:val="both"/>
            </w:pPr>
          </w:p>
          <w:p w14:paraId="321F7EDD" w14:textId="2625365A" w:rsidR="006D777E" w:rsidRDefault="006D777E" w:rsidP="006D777E">
            <w:pPr>
              <w:jc w:val="both"/>
            </w:pPr>
            <w:r>
              <w:t xml:space="preserve">L’ordonnance rendue par le juge Gascon le 3 décembre 2016, en vertu de l’art. 65.1 de la </w:t>
            </w:r>
            <w:r w:rsidRPr="00827FC7">
              <w:rPr>
                <w:i/>
              </w:rPr>
              <w:t>Loi sur la Cour suprême</w:t>
            </w:r>
            <w:r>
              <w:t xml:space="preserve">, qui a prescrit la suspension des procédures devant la juridiction d’instance inférieure est modifiée par la présente en vertu du par. 65.1(3) de la </w:t>
            </w:r>
            <w:r w:rsidRPr="00827FC7">
              <w:rPr>
                <w:i/>
              </w:rPr>
              <w:t>Loi</w:t>
            </w:r>
            <w:r>
              <w:t xml:space="preserve"> de manière à prolonger la suspension des procédures jusqu’à la date du jugement dans le présent appel</w:t>
            </w:r>
            <w:r w:rsidR="008B351E">
              <w:t xml:space="preserve"> </w:t>
            </w:r>
            <w:r w:rsidR="008B351E" w:rsidRPr="008B351E">
              <w:t>ou jusqu’à ce que la Cour en ordonne autrement</w:t>
            </w:r>
            <w:r>
              <w:t>.</w:t>
            </w:r>
          </w:p>
          <w:p w14:paraId="7D52A6E5" w14:textId="77777777" w:rsidR="006D777E" w:rsidRDefault="006D777E" w:rsidP="006D777E">
            <w:pPr>
              <w:jc w:val="both"/>
            </w:pPr>
          </w:p>
          <w:p w14:paraId="66D98B63" w14:textId="77777777" w:rsidR="006D777E" w:rsidRDefault="006D777E" w:rsidP="006D777E">
            <w:pPr>
              <w:jc w:val="both"/>
            </w:pPr>
            <w:r>
              <w:t>Il est en outre ordonné que 9069-4654 Québec inc. est nommée intervenante dans les procédures devant la Cour puisqu’il appert que 9069-4654 Québec inc. n’a pas d’intérêts opposés à ceux des appelants dans les présentes procédures.</w:t>
            </w:r>
          </w:p>
          <w:p w14:paraId="42C539E5" w14:textId="77777777" w:rsidR="006D777E" w:rsidRDefault="006D777E" w:rsidP="006D777E">
            <w:pPr>
              <w:jc w:val="both"/>
            </w:pPr>
          </w:p>
          <w:p w14:paraId="234AD35F" w14:textId="77777777" w:rsidR="006D777E" w:rsidRDefault="006D777E" w:rsidP="006D777E">
            <w:pPr>
              <w:jc w:val="both"/>
            </w:pPr>
            <w:r>
              <w:t xml:space="preserve">La directive suivante est donnée quant à la conduite du présent appel. Puisqu’il appert qu’il n’y a aucune partie dont les intérêts soient opposés à ceux des appelants et qu’il n’y a donc pas d’intimé dans le présent appel, et puisqu’il est dans l’intérêt de la justice que la Cour nomme un </w:t>
            </w:r>
            <w:r w:rsidRPr="00405178">
              <w:rPr>
                <w:i/>
              </w:rPr>
              <w:t>amicus curiae</w:t>
            </w:r>
            <w:r>
              <w:t xml:space="preserve"> pour garantir que toutes les questions découlant du présent appel soient pleinement débattues devant la Cour, cette dernière ordonne qu’un </w:t>
            </w:r>
            <w:r w:rsidRPr="00405178">
              <w:rPr>
                <w:i/>
              </w:rPr>
              <w:t xml:space="preserve">amicus </w:t>
            </w:r>
            <w:r w:rsidRPr="0086126F">
              <w:t>soit nommé</w:t>
            </w:r>
            <w:r>
              <w:t xml:space="preserve">. Les appelants et les intervenants sont invités à présenter, au plus tard le 19 janvier 2017, leurs observations quant à savoir qui devra payer les honoraires </w:t>
            </w:r>
            <w:r>
              <w:lastRenderedPageBreak/>
              <w:t>e</w:t>
            </w:r>
            <w:bookmarkStart w:id="0" w:name="_GoBack"/>
            <w:bookmarkEnd w:id="0"/>
            <w:r>
              <w:t xml:space="preserve">t débours raisonnables de </w:t>
            </w:r>
            <w:r w:rsidRPr="00EF69D9">
              <w:t>l’</w:t>
            </w:r>
            <w:r w:rsidRPr="00405178">
              <w:rPr>
                <w:i/>
              </w:rPr>
              <w:t>amicus curiae</w:t>
            </w:r>
            <w:r>
              <w:t xml:space="preserve"> nommé pour assister la Cour dans le présent appel. La Cour ou un juge rendra ensuite une ordonnance nommant un </w:t>
            </w:r>
            <w:r w:rsidRPr="00405178">
              <w:rPr>
                <w:i/>
              </w:rPr>
              <w:t>amicus curiae</w:t>
            </w:r>
            <w:r>
              <w:t xml:space="preserve"> et donnant des directives quant au paiement des honoraires et débours raisonnables.</w:t>
            </w:r>
          </w:p>
          <w:p w14:paraId="089B9A70" w14:textId="77777777" w:rsidR="006D777E" w:rsidRDefault="006D777E" w:rsidP="006D777E">
            <w:pPr>
              <w:jc w:val="both"/>
            </w:pPr>
          </w:p>
          <w:p w14:paraId="396CA7CE" w14:textId="548073A2" w:rsidR="00824412" w:rsidRPr="00352A2A" w:rsidRDefault="006D777E" w:rsidP="006D777E">
            <w:pPr>
              <w:jc w:val="both"/>
            </w:pPr>
            <w:r>
              <w:t xml:space="preserve">Les appelants doivent signifier l’avis d’appel à toutes les parties comme le prescrivent la </w:t>
            </w:r>
            <w:r w:rsidRPr="00405178">
              <w:rPr>
                <w:i/>
              </w:rPr>
              <w:t>Loi sur la Cour suprême</w:t>
            </w:r>
            <w:r>
              <w:t xml:space="preserve"> et les </w:t>
            </w:r>
            <w:r w:rsidRPr="00405178">
              <w:rPr>
                <w:i/>
              </w:rPr>
              <w:t>Règles</w:t>
            </w:r>
            <w:r>
              <w:t xml:space="preserve">, de même qu’à la procureure générale du Québec qui a donné avis de son intention de demander l’autorisation d’intervenir dans le présent appel.  </w:t>
            </w:r>
          </w:p>
        </w:tc>
        <w:tc>
          <w:tcPr>
            <w:tcW w:w="374" w:type="pct"/>
          </w:tcPr>
          <w:p w14:paraId="396CA7CF" w14:textId="77777777" w:rsidR="00824412" w:rsidRPr="001E26DB" w:rsidRDefault="00824412" w:rsidP="00417FB7">
            <w:pPr>
              <w:jc w:val="center"/>
            </w:pPr>
          </w:p>
        </w:tc>
        <w:tc>
          <w:tcPr>
            <w:tcW w:w="2306" w:type="pct"/>
          </w:tcPr>
          <w:p w14:paraId="396CA7D0" w14:textId="77777777" w:rsidR="0027081E" w:rsidRPr="001E26DB" w:rsidRDefault="0027081E" w:rsidP="0027081E">
            <w:pPr>
              <w:jc w:val="center"/>
              <w:rPr>
                <w:lang w:val="en-CA"/>
              </w:rPr>
            </w:pPr>
            <w:r w:rsidRPr="001E26DB">
              <w:rPr>
                <w:lang w:val="en-CA"/>
              </w:rPr>
              <w:t>JUDGMENT</w:t>
            </w:r>
          </w:p>
          <w:p w14:paraId="396CA7D1" w14:textId="77777777" w:rsidR="0027081E" w:rsidRPr="001E26DB" w:rsidRDefault="0027081E" w:rsidP="0027081E">
            <w:pPr>
              <w:jc w:val="center"/>
              <w:rPr>
                <w:lang w:val="en-CA"/>
              </w:rPr>
            </w:pPr>
          </w:p>
          <w:p w14:paraId="73F4EDEE" w14:textId="77777777" w:rsidR="003F7469" w:rsidRPr="003F7469" w:rsidRDefault="003F7469" w:rsidP="003F7469">
            <w:pPr>
              <w:rPr>
                <w:sz w:val="22"/>
                <w:lang w:val="en-CA"/>
              </w:rPr>
            </w:pPr>
            <w:r w:rsidRPr="003F7469">
              <w:rPr>
                <w:lang w:val="en-CA"/>
              </w:rPr>
              <w:t>The application for leave to appeal from the judgment of the Court of Appeal of Quebec (Québec), Number 200-09-008909-159, dated November 9, 2016, is granted with no order as to costs.</w:t>
            </w:r>
          </w:p>
          <w:p w14:paraId="1658B7E7" w14:textId="77777777" w:rsidR="003F7469" w:rsidRPr="003F7469" w:rsidRDefault="003F7469" w:rsidP="003F7469">
            <w:pPr>
              <w:rPr>
                <w:lang w:val="en-CA"/>
              </w:rPr>
            </w:pPr>
          </w:p>
          <w:p w14:paraId="6493D6E2" w14:textId="0E30AFA0" w:rsidR="003F7469" w:rsidRDefault="00D6383E" w:rsidP="003F7469">
            <w:pPr>
              <w:rPr>
                <w:lang w:val="en-CA"/>
              </w:rPr>
            </w:pPr>
            <w:r>
              <w:rPr>
                <w:lang w:val="en-CA"/>
              </w:rPr>
              <w:t>The</w:t>
            </w:r>
            <w:r w:rsidR="003F7469" w:rsidRPr="003F7469">
              <w:rPr>
                <w:lang w:val="en-CA"/>
              </w:rPr>
              <w:t xml:space="preserve"> order of Gascon J. made on December </w:t>
            </w:r>
            <w:r>
              <w:rPr>
                <w:lang w:val="en-CA"/>
              </w:rPr>
              <w:t>3</w:t>
            </w:r>
            <w:r w:rsidR="003F7469" w:rsidRPr="003F7469">
              <w:rPr>
                <w:lang w:val="en-CA"/>
              </w:rPr>
              <w:t xml:space="preserve">, 2016, staying the proceedings in the </w:t>
            </w:r>
            <w:r>
              <w:rPr>
                <w:lang w:val="en-CA"/>
              </w:rPr>
              <w:t>c</w:t>
            </w:r>
            <w:r w:rsidR="003F7469" w:rsidRPr="003F7469">
              <w:rPr>
                <w:lang w:val="en-CA"/>
              </w:rPr>
              <w:t xml:space="preserve">ourt below pursuant to s. 65.1 of the </w:t>
            </w:r>
            <w:r w:rsidR="003F7469" w:rsidRPr="003F7469">
              <w:rPr>
                <w:i/>
                <w:iCs/>
                <w:lang w:val="en-CA"/>
              </w:rPr>
              <w:t xml:space="preserve">Supreme Court Act, </w:t>
            </w:r>
            <w:r w:rsidR="003F7469" w:rsidRPr="003F7469">
              <w:rPr>
                <w:lang w:val="en-CA"/>
              </w:rPr>
              <w:t xml:space="preserve">is hereby varied pursuant to s. 65.1(3) of the </w:t>
            </w:r>
            <w:r w:rsidR="003F7469" w:rsidRPr="003F7469">
              <w:rPr>
                <w:i/>
                <w:iCs/>
                <w:lang w:val="en-CA"/>
              </w:rPr>
              <w:t>Act</w:t>
            </w:r>
            <w:r w:rsidR="003F7469" w:rsidRPr="003F7469">
              <w:rPr>
                <w:lang w:val="en-CA"/>
              </w:rPr>
              <w:t xml:space="preserve"> to extend the stay of proceedings to the date of the judgment on this appeal</w:t>
            </w:r>
            <w:r w:rsidR="008B351E">
              <w:rPr>
                <w:lang w:val="en-CA"/>
              </w:rPr>
              <w:t xml:space="preserve"> or until the Court orders otherwise</w:t>
            </w:r>
            <w:r w:rsidR="003F7469" w:rsidRPr="003F7469">
              <w:rPr>
                <w:lang w:val="en-CA"/>
              </w:rPr>
              <w:t xml:space="preserve">.  </w:t>
            </w:r>
          </w:p>
          <w:p w14:paraId="6158D0E8" w14:textId="77777777" w:rsidR="00D34E6B" w:rsidRDefault="00D34E6B" w:rsidP="003F7469">
            <w:pPr>
              <w:rPr>
                <w:lang w:val="en-CA"/>
              </w:rPr>
            </w:pPr>
          </w:p>
          <w:p w14:paraId="27534B58" w14:textId="77777777" w:rsidR="00D34E6B" w:rsidRPr="003F7469" w:rsidRDefault="00D34E6B" w:rsidP="003F7469">
            <w:pPr>
              <w:rPr>
                <w:lang w:val="en-CA"/>
              </w:rPr>
            </w:pPr>
          </w:p>
          <w:p w14:paraId="16A77E43" w14:textId="77777777" w:rsidR="003F7469" w:rsidRPr="003F7469" w:rsidRDefault="003F7469" w:rsidP="003F7469">
            <w:pPr>
              <w:rPr>
                <w:lang w:val="en-CA"/>
              </w:rPr>
            </w:pPr>
          </w:p>
          <w:p w14:paraId="32A381DE" w14:textId="77777777" w:rsidR="003F7469" w:rsidRPr="003F7469" w:rsidRDefault="003F7469" w:rsidP="003F7469">
            <w:pPr>
              <w:rPr>
                <w:lang w:val="en-CA"/>
              </w:rPr>
            </w:pPr>
            <w:r w:rsidRPr="003F7469">
              <w:rPr>
                <w:lang w:val="en-CA"/>
              </w:rPr>
              <w:t xml:space="preserve">It is further ordered that 9069-4654 Québec inc. shall be named as an intervener in the proceedings before this Court as it appears that 9069-4654 Québec inc. is not adverse in interest to the appellants in these proceedings.  </w:t>
            </w:r>
          </w:p>
          <w:p w14:paraId="45B9FDF6" w14:textId="77777777" w:rsidR="003F7469" w:rsidRPr="003F7469" w:rsidRDefault="003F7469" w:rsidP="003F7469">
            <w:pPr>
              <w:rPr>
                <w:lang w:val="en-CA"/>
              </w:rPr>
            </w:pPr>
          </w:p>
          <w:p w14:paraId="0B5097D1" w14:textId="77777777" w:rsidR="003F7469" w:rsidRDefault="003F7469" w:rsidP="003F7469">
            <w:pPr>
              <w:rPr>
                <w:lang w:val="en-CA"/>
              </w:rPr>
            </w:pPr>
            <w:r w:rsidRPr="003F7469">
              <w:rPr>
                <w:lang w:val="en-CA"/>
              </w:rPr>
              <w:t xml:space="preserve">The following direction is given with respect to the conduct of this appeal.  As it appears that there is no party who is adverse in interest to the appellants and therefore no respondent in this appeal, and as it is in the interest of justice that the Court appoint an </w:t>
            </w:r>
            <w:r w:rsidRPr="00D6383E">
              <w:rPr>
                <w:i/>
                <w:lang w:val="en-CA"/>
              </w:rPr>
              <w:t>amicus curiae</w:t>
            </w:r>
            <w:r w:rsidRPr="003F7469">
              <w:rPr>
                <w:lang w:val="en-CA"/>
              </w:rPr>
              <w:t xml:space="preserve"> to ensure that all issues arising in the appeal are fully canvassed before the Court, the Court will order that an </w:t>
            </w:r>
            <w:r w:rsidRPr="00D6383E">
              <w:rPr>
                <w:i/>
                <w:lang w:val="en-CA"/>
              </w:rPr>
              <w:t>amicus</w:t>
            </w:r>
            <w:r w:rsidRPr="003F7469">
              <w:rPr>
                <w:lang w:val="en-CA"/>
              </w:rPr>
              <w:t xml:space="preserve"> be appointed.  The appellants and interveners are invited to make submissions by January 19, 2017 as to who shall pay the reasonable fees and disbursements of any </w:t>
            </w:r>
            <w:r w:rsidRPr="00D6383E">
              <w:rPr>
                <w:i/>
                <w:lang w:val="en-CA"/>
              </w:rPr>
              <w:t>amicus curiae</w:t>
            </w:r>
            <w:r w:rsidRPr="003F7469">
              <w:rPr>
                <w:lang w:val="en-CA"/>
              </w:rPr>
              <w:t xml:space="preserve"> </w:t>
            </w:r>
            <w:r w:rsidRPr="003F7469">
              <w:rPr>
                <w:lang w:val="en-CA"/>
              </w:rPr>
              <w:lastRenderedPageBreak/>
              <w:t xml:space="preserve">appointed to assist the Court in this appeal. The Court or a judge will then issue an order appointing an </w:t>
            </w:r>
            <w:r w:rsidRPr="00D6383E">
              <w:rPr>
                <w:i/>
                <w:lang w:val="en-CA"/>
              </w:rPr>
              <w:t>amicus curiae</w:t>
            </w:r>
            <w:r w:rsidRPr="003F7469">
              <w:rPr>
                <w:lang w:val="en-CA"/>
              </w:rPr>
              <w:t xml:space="preserve"> and directing the payment of the reasonable fees and disbursements.</w:t>
            </w:r>
          </w:p>
          <w:p w14:paraId="417E3A7F" w14:textId="77777777" w:rsidR="00D34E6B" w:rsidRPr="003F7469" w:rsidRDefault="00D34E6B" w:rsidP="003F7469">
            <w:pPr>
              <w:rPr>
                <w:lang w:val="en-CA"/>
              </w:rPr>
            </w:pPr>
          </w:p>
          <w:p w14:paraId="2DDCF169" w14:textId="77777777" w:rsidR="003F7469" w:rsidRPr="003F7469" w:rsidRDefault="003F7469" w:rsidP="003F7469">
            <w:pPr>
              <w:rPr>
                <w:lang w:val="en-CA"/>
              </w:rPr>
            </w:pPr>
          </w:p>
          <w:p w14:paraId="2235ADED" w14:textId="6752AC1F" w:rsidR="003F7469" w:rsidRPr="003F7469" w:rsidRDefault="003F7469" w:rsidP="003F7469">
            <w:pPr>
              <w:rPr>
                <w:lang w:val="en-CA"/>
              </w:rPr>
            </w:pPr>
            <w:r w:rsidRPr="003F7469">
              <w:rPr>
                <w:lang w:val="en-CA"/>
              </w:rPr>
              <w:t xml:space="preserve">The appellants shall serve the notice of appeal on all parties as required by the </w:t>
            </w:r>
            <w:r w:rsidRPr="00D6383E">
              <w:rPr>
                <w:i/>
                <w:lang w:val="en-CA"/>
              </w:rPr>
              <w:t>Supreme Court Act</w:t>
            </w:r>
            <w:r w:rsidRPr="003F7469">
              <w:rPr>
                <w:lang w:val="en-CA"/>
              </w:rPr>
              <w:t xml:space="preserve"> and </w:t>
            </w:r>
            <w:r w:rsidRPr="00D6383E">
              <w:rPr>
                <w:i/>
                <w:lang w:val="en-CA"/>
              </w:rPr>
              <w:t>Rules</w:t>
            </w:r>
            <w:r w:rsidRPr="003F7469">
              <w:rPr>
                <w:lang w:val="en-CA"/>
              </w:rPr>
              <w:t>, and also shall serve the notice on the Attorney General of Quebec who has given notice of intention to apply for leave to intervene in this appeal.</w:t>
            </w:r>
          </w:p>
          <w:p w14:paraId="396CA7D2" w14:textId="462950A2" w:rsidR="003F7469" w:rsidRPr="001E26DB" w:rsidRDefault="003F7469" w:rsidP="00263D70">
            <w:pPr>
              <w:jc w:val="both"/>
              <w:rPr>
                <w:lang w:val="en-CA"/>
              </w:rPr>
            </w:pPr>
          </w:p>
        </w:tc>
      </w:tr>
    </w:tbl>
    <w:p w14:paraId="396CA7D4" w14:textId="77777777" w:rsidR="009F436C" w:rsidRPr="002C29B6" w:rsidRDefault="009F436C" w:rsidP="00382FEC">
      <w:pPr>
        <w:rPr>
          <w:lang w:val="en-US"/>
        </w:rPr>
      </w:pPr>
    </w:p>
    <w:p w14:paraId="396CA7D6" w14:textId="77777777" w:rsidR="009F436C" w:rsidRDefault="009F436C" w:rsidP="00417FB7">
      <w:pPr>
        <w:jc w:val="center"/>
        <w:rPr>
          <w:lang w:val="en-US"/>
        </w:rPr>
      </w:pPr>
    </w:p>
    <w:p w14:paraId="3C9F4324" w14:textId="77777777" w:rsidR="0069652D" w:rsidRPr="002C29B6" w:rsidRDefault="0069652D" w:rsidP="00417FB7">
      <w:pPr>
        <w:jc w:val="center"/>
        <w:rPr>
          <w:lang w:val="en-US"/>
        </w:rPr>
      </w:pPr>
    </w:p>
    <w:p w14:paraId="396CA7D7" w14:textId="77777777" w:rsidR="00655333" w:rsidRPr="00F67F03" w:rsidRDefault="00655333" w:rsidP="00655333">
      <w:pPr>
        <w:jc w:val="center"/>
        <w:rPr>
          <w:lang w:val="fr-FR"/>
        </w:rPr>
      </w:pPr>
      <w:r w:rsidRPr="00F67F03">
        <w:rPr>
          <w:lang w:val="fr-FR"/>
        </w:rPr>
        <w:t>J.C.C.</w:t>
      </w:r>
    </w:p>
    <w:p w14:paraId="396CA7D8" w14:textId="77777777" w:rsidR="00655333" w:rsidRPr="00F67F03" w:rsidRDefault="00655333" w:rsidP="00655333">
      <w:pPr>
        <w:jc w:val="center"/>
        <w:rPr>
          <w:lang w:val="fr-FR"/>
        </w:rPr>
      </w:pPr>
      <w:r w:rsidRPr="00F67F03">
        <w:rPr>
          <w:lang w:val="fr-FR"/>
        </w:rPr>
        <w:t>C.J.C.</w:t>
      </w:r>
    </w:p>
    <w:p w14:paraId="396CA7D9" w14:textId="77777777" w:rsidR="00655333" w:rsidRPr="00F67F03" w:rsidRDefault="00655333" w:rsidP="00655333">
      <w:pPr>
        <w:jc w:val="center"/>
        <w:rPr>
          <w:lang w:val="fr-FR"/>
        </w:rPr>
      </w:pPr>
    </w:p>
    <w:sectPr w:rsidR="00655333" w:rsidRPr="00F67F03" w:rsidSect="007B340F">
      <w:headerReference w:type="default" r:id="rId10"/>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A7DC" w14:textId="77777777" w:rsidR="006475C8" w:rsidRDefault="006475C8">
      <w:r>
        <w:separator/>
      </w:r>
    </w:p>
  </w:endnote>
  <w:endnote w:type="continuationSeparator" w:id="0">
    <w:p w14:paraId="396CA7DD" w14:textId="77777777" w:rsidR="006475C8" w:rsidRDefault="0064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A7DA" w14:textId="77777777" w:rsidR="006475C8" w:rsidRDefault="006475C8">
      <w:r>
        <w:separator/>
      </w:r>
    </w:p>
  </w:footnote>
  <w:footnote w:type="continuationSeparator" w:id="0">
    <w:p w14:paraId="396CA7DB" w14:textId="77777777" w:rsidR="006475C8" w:rsidRDefault="0064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A7DE"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7760E7">
      <w:rPr>
        <w:noProof/>
        <w:szCs w:val="24"/>
      </w:rPr>
      <w:t>2</w:t>
    </w:r>
    <w:r w:rsidR="00990F06" w:rsidRPr="00417FB7">
      <w:rPr>
        <w:szCs w:val="24"/>
      </w:rPr>
      <w:fldChar w:fldCharType="end"/>
    </w:r>
    <w:r>
      <w:rPr>
        <w:szCs w:val="24"/>
      </w:rPr>
      <w:t xml:space="preserve"> -</w:t>
    </w:r>
  </w:p>
  <w:p w14:paraId="396CA7DF" w14:textId="77777777" w:rsidR="00401B64" w:rsidRDefault="00401B64" w:rsidP="00401B64">
    <w:pPr>
      <w:rPr>
        <w:szCs w:val="24"/>
      </w:rPr>
    </w:pPr>
  </w:p>
  <w:p w14:paraId="396CA7E0" w14:textId="77777777" w:rsidR="00401B64" w:rsidRDefault="00401B64" w:rsidP="00401B64">
    <w:pPr>
      <w:rPr>
        <w:szCs w:val="24"/>
      </w:rPr>
    </w:pPr>
  </w:p>
  <w:p w14:paraId="396CA7E1"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37320</w:t>
    </w:r>
    <w:r w:rsidR="00401B64">
      <w:rPr>
        <w:szCs w:val="24"/>
      </w:rPr>
      <w:t>     </w:t>
    </w:r>
  </w:p>
  <w:p w14:paraId="396CA7E2" w14:textId="77777777"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28B"/>
    <w:rsid w:val="00011960"/>
    <w:rsid w:val="00014928"/>
    <w:rsid w:val="0002577E"/>
    <w:rsid w:val="0003701B"/>
    <w:rsid w:val="0004338D"/>
    <w:rsid w:val="00057FAF"/>
    <w:rsid w:val="00061CAE"/>
    <w:rsid w:val="000919B4"/>
    <w:rsid w:val="000978C2"/>
    <w:rsid w:val="000B76FF"/>
    <w:rsid w:val="000D7521"/>
    <w:rsid w:val="000E4CCE"/>
    <w:rsid w:val="000F44E1"/>
    <w:rsid w:val="00130C0B"/>
    <w:rsid w:val="00195E00"/>
    <w:rsid w:val="001A1CE1"/>
    <w:rsid w:val="001D0116"/>
    <w:rsid w:val="001D4323"/>
    <w:rsid w:val="001E26DB"/>
    <w:rsid w:val="002030E6"/>
    <w:rsid w:val="00203642"/>
    <w:rsid w:val="00215653"/>
    <w:rsid w:val="00263D70"/>
    <w:rsid w:val="0027081E"/>
    <w:rsid w:val="002B5FA6"/>
    <w:rsid w:val="002C29B6"/>
    <w:rsid w:val="0031097F"/>
    <w:rsid w:val="0031165C"/>
    <w:rsid w:val="00311ACE"/>
    <w:rsid w:val="003174AD"/>
    <w:rsid w:val="00352A2A"/>
    <w:rsid w:val="00374E7D"/>
    <w:rsid w:val="00375294"/>
    <w:rsid w:val="00382FEC"/>
    <w:rsid w:val="00385A90"/>
    <w:rsid w:val="003A37CF"/>
    <w:rsid w:val="003B1F3D"/>
    <w:rsid w:val="003B7760"/>
    <w:rsid w:val="003C744C"/>
    <w:rsid w:val="003D7CE6"/>
    <w:rsid w:val="003F7469"/>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4672C"/>
    <w:rsid w:val="006475C8"/>
    <w:rsid w:val="00650109"/>
    <w:rsid w:val="00655333"/>
    <w:rsid w:val="00663695"/>
    <w:rsid w:val="006935F7"/>
    <w:rsid w:val="0069652D"/>
    <w:rsid w:val="006A1E6D"/>
    <w:rsid w:val="006C1359"/>
    <w:rsid w:val="006D777E"/>
    <w:rsid w:val="006F1DF9"/>
    <w:rsid w:val="00701109"/>
    <w:rsid w:val="00733231"/>
    <w:rsid w:val="007372EA"/>
    <w:rsid w:val="0076003F"/>
    <w:rsid w:val="007760E7"/>
    <w:rsid w:val="0079129C"/>
    <w:rsid w:val="007919AE"/>
    <w:rsid w:val="007A54CC"/>
    <w:rsid w:val="007B340F"/>
    <w:rsid w:val="007F41D5"/>
    <w:rsid w:val="007F43B2"/>
    <w:rsid w:val="00816B78"/>
    <w:rsid w:val="00823BF1"/>
    <w:rsid w:val="00824412"/>
    <w:rsid w:val="008262A3"/>
    <w:rsid w:val="00830BBE"/>
    <w:rsid w:val="0086042A"/>
    <w:rsid w:val="008813BC"/>
    <w:rsid w:val="008A153F"/>
    <w:rsid w:val="008A78BE"/>
    <w:rsid w:val="008B351E"/>
    <w:rsid w:val="008B5590"/>
    <w:rsid w:val="008D6351"/>
    <w:rsid w:val="008E6B6B"/>
    <w:rsid w:val="008F4A07"/>
    <w:rsid w:val="00950758"/>
    <w:rsid w:val="00951EF6"/>
    <w:rsid w:val="00961003"/>
    <w:rsid w:val="0096638C"/>
    <w:rsid w:val="00971A08"/>
    <w:rsid w:val="00990F06"/>
    <w:rsid w:val="00995343"/>
    <w:rsid w:val="009D45DF"/>
    <w:rsid w:val="009E010A"/>
    <w:rsid w:val="009E0F71"/>
    <w:rsid w:val="009E664B"/>
    <w:rsid w:val="009E7A46"/>
    <w:rsid w:val="009F436C"/>
    <w:rsid w:val="00A0171A"/>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A7D71"/>
    <w:rsid w:val="00BD2A96"/>
    <w:rsid w:val="00BF682C"/>
    <w:rsid w:val="00BF7644"/>
    <w:rsid w:val="00C2612E"/>
    <w:rsid w:val="00C609B7"/>
    <w:rsid w:val="00C7112B"/>
    <w:rsid w:val="00CF2E5D"/>
    <w:rsid w:val="00D047BE"/>
    <w:rsid w:val="00D206CC"/>
    <w:rsid w:val="00D26BFF"/>
    <w:rsid w:val="00D34E6B"/>
    <w:rsid w:val="00D42339"/>
    <w:rsid w:val="00D61AC2"/>
    <w:rsid w:val="00D6383E"/>
    <w:rsid w:val="00D652D6"/>
    <w:rsid w:val="00DA70F3"/>
    <w:rsid w:val="00DE063A"/>
    <w:rsid w:val="00E01893"/>
    <w:rsid w:val="00E12A51"/>
    <w:rsid w:val="00E3700E"/>
    <w:rsid w:val="00E600ED"/>
    <w:rsid w:val="00E777AD"/>
    <w:rsid w:val="00E81C0B"/>
    <w:rsid w:val="00EA4B61"/>
    <w:rsid w:val="00EF4EF2"/>
    <w:rsid w:val="00F06BF6"/>
    <w:rsid w:val="00F1759D"/>
    <w:rsid w:val="00F4094A"/>
    <w:rsid w:val="00F40FBF"/>
    <w:rsid w:val="00F47372"/>
    <w:rsid w:val="00F5034C"/>
    <w:rsid w:val="00F57693"/>
    <w:rsid w:val="00F67F03"/>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96C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11645</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2016-12-22T05:00:00+00:00</DocumentDate>
    <SecurityClassification xmlns="40ae4924-d04e-473c-aafa-3657aad971d6">2</SecurityClassification>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4C39-2647-4ABB-BB87-AC178EEA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3F090-B284-4640-9D10-65FEDB093A6D}">
  <ds:schemaRefs>
    <ds:schemaRef ds:uri="http://schemas.microsoft.com/sharepoint/v3/contenttype/forms"/>
  </ds:schemaRefs>
</ds:datastoreItem>
</file>

<file path=customXml/itemProps3.xml><?xml version="1.0" encoding="utf-8"?>
<ds:datastoreItem xmlns:ds="http://schemas.openxmlformats.org/officeDocument/2006/customXml" ds:itemID="{0E346C78-4E8E-42B6-94A5-7BC07656A696}">
  <ds:schemaRefs>
    <ds:schemaRef ds:uri="http://schemas.microsoft.com/office/2006/metadata/properties"/>
    <ds:schemaRef ds:uri="http://schemas.microsoft.com/office/infopath/2007/PartnerControls"/>
    <ds:schemaRef ds:uri="40ae4924-d04e-473c-aafa-3657aad971d6"/>
  </ds:schemaRefs>
</ds:datastoreItem>
</file>

<file path=customXml/itemProps4.xml><?xml version="1.0" encoding="utf-8"?>
<ds:datastoreItem xmlns:ds="http://schemas.openxmlformats.org/officeDocument/2006/customXml" ds:itemID="{3A9DB5E2-67FD-4C6C-A343-00BA9B2C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2016-12-21T20:00:00Z</dcterms:created>
  <dcterms:modified xsi:type="dcterms:W3CDTF">2016-12-21T20:00:00Z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