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F4E3D" w14:textId="77777777" w:rsidR="009F436C" w:rsidRDefault="009F436C" w:rsidP="00382FEC">
      <w:bookmarkStart w:id="0" w:name="_GoBack"/>
      <w:bookmarkEnd w:id="0"/>
    </w:p>
    <w:p w14:paraId="6A2F4E3E" w14:textId="77777777" w:rsidR="00EF4EF2" w:rsidRPr="001E26DB" w:rsidRDefault="00EF4EF2" w:rsidP="00382FEC"/>
    <w:p w14:paraId="6A2F4E3F" w14:textId="77777777" w:rsidR="009F436C" w:rsidRPr="001E26DB" w:rsidRDefault="009F436C" w:rsidP="00382FEC"/>
    <w:p w14:paraId="6A2F4E40" w14:textId="77777777" w:rsidR="009F436C" w:rsidRDefault="009F436C" w:rsidP="00382FEC"/>
    <w:p w14:paraId="6A2F4E41" w14:textId="77777777" w:rsidR="002C29B6" w:rsidRDefault="002C29B6" w:rsidP="00382FEC"/>
    <w:p w14:paraId="6A2F4E42" w14:textId="77777777" w:rsidR="002C29B6" w:rsidRDefault="002C29B6" w:rsidP="00382FEC"/>
    <w:p w14:paraId="6A2F4E43" w14:textId="77777777" w:rsidR="0076003F" w:rsidRDefault="0076003F" w:rsidP="00382FEC"/>
    <w:p w14:paraId="6A2F4E44" w14:textId="77777777" w:rsidR="002C29B6" w:rsidRPr="001E26DB" w:rsidRDefault="002C29B6" w:rsidP="00382FEC"/>
    <w:p w14:paraId="6A2F4E45" w14:textId="77777777" w:rsidR="009F436C" w:rsidRPr="001E26DB" w:rsidRDefault="009F436C" w:rsidP="00382FEC"/>
    <w:p w14:paraId="6A2F4E46" w14:textId="77777777" w:rsidR="009F436C" w:rsidRPr="001E26DB" w:rsidRDefault="009F436C" w:rsidP="00382FEC"/>
    <w:p w14:paraId="6A2F4E47" w14:textId="77777777" w:rsidR="009F436C" w:rsidRPr="001E26DB" w:rsidRDefault="009F436C" w:rsidP="00382FEC"/>
    <w:p w14:paraId="6A2F4E4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36773</w:t>
      </w:r>
      <w:r w:rsidR="00E81C0B" w:rsidRPr="001E26DB">
        <w:t>     </w:t>
      </w:r>
    </w:p>
    <w:p w14:paraId="6A2F4E4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A2F4E4D" w14:textId="77777777" w:rsidTr="00B37A52">
        <w:tc>
          <w:tcPr>
            <w:tcW w:w="2269" w:type="pct"/>
          </w:tcPr>
          <w:p w14:paraId="6A2F4E4A" w14:textId="77777777" w:rsidR="00417FB7" w:rsidRPr="001E26DB" w:rsidRDefault="0086311F" w:rsidP="0086311F">
            <w:r>
              <w:t>Le 2</w:t>
            </w:r>
            <w:r w:rsidR="006475C8">
              <w:t xml:space="preserve"> </w:t>
            </w:r>
            <w:r>
              <w:t xml:space="preserve">mars </w:t>
            </w:r>
            <w:r w:rsidR="006475C8">
              <w:t>2017</w:t>
            </w:r>
          </w:p>
        </w:tc>
        <w:tc>
          <w:tcPr>
            <w:tcW w:w="381" w:type="pct"/>
          </w:tcPr>
          <w:p w14:paraId="6A2F4E4B" w14:textId="77777777" w:rsidR="00417FB7" w:rsidRPr="001E26DB" w:rsidRDefault="00417FB7" w:rsidP="00382FEC"/>
        </w:tc>
        <w:tc>
          <w:tcPr>
            <w:tcW w:w="2350" w:type="pct"/>
          </w:tcPr>
          <w:p w14:paraId="6A2F4E4C" w14:textId="77777777" w:rsidR="00417FB7" w:rsidRPr="001E26DB" w:rsidRDefault="0086311F" w:rsidP="0086311F">
            <w:pPr>
              <w:rPr>
                <w:lang w:val="en-CA"/>
              </w:rPr>
            </w:pPr>
            <w:r>
              <w:t xml:space="preserve">Mars </w:t>
            </w:r>
            <w:r w:rsidR="006475C8">
              <w:t>2, 2017</w:t>
            </w:r>
          </w:p>
        </w:tc>
      </w:tr>
      <w:tr w:rsidR="00E12A51" w:rsidRPr="00F67F03" w14:paraId="6A2F4E5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A2F4E4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2F4E4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2F4E5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D3C98" w14:paraId="6A2F4E55" w14:textId="77777777" w:rsidTr="00B37A52">
        <w:tc>
          <w:tcPr>
            <w:tcW w:w="2269" w:type="pct"/>
          </w:tcPr>
          <w:p w14:paraId="6A2F4E52" w14:textId="77777777" w:rsidR="00417FB7" w:rsidRPr="001E26DB" w:rsidRDefault="00417FB7" w:rsidP="0086311F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86311F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86311F"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 </w:t>
            </w:r>
          </w:p>
        </w:tc>
        <w:tc>
          <w:tcPr>
            <w:tcW w:w="381" w:type="pct"/>
          </w:tcPr>
          <w:p w14:paraId="6A2F4E53" w14:textId="77777777" w:rsidR="00417FB7" w:rsidRPr="001E26DB" w:rsidRDefault="00417FB7" w:rsidP="00382FEC"/>
        </w:tc>
        <w:tc>
          <w:tcPr>
            <w:tcW w:w="2350" w:type="pct"/>
          </w:tcPr>
          <w:p w14:paraId="6A2F4E54" w14:textId="77777777" w:rsidR="00417FB7" w:rsidRPr="001E26DB" w:rsidRDefault="007F41D5" w:rsidP="0086311F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86311F" w:rsidRPr="0086311F">
              <w:rPr>
                <w:rFonts w:eastAsiaTheme="minorEastAsia" w:cs="Times New Roman"/>
                <w:szCs w:val="24"/>
                <w:lang w:val="en-CA" w:eastAsia="en-CA"/>
              </w:rPr>
              <w:t>McLachlin C.J. and Abella, Moldaver, Karakatsanis, Wagner, Gascon, Côté, Brown and Rowe JJ.</w:t>
            </w:r>
          </w:p>
        </w:tc>
      </w:tr>
      <w:tr w:rsidR="00C2612E" w:rsidRPr="00DD3C98" w14:paraId="6A2F4E5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A2F4E56" w14:textId="77777777" w:rsidR="00C2612E" w:rsidRPr="0086311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2F4E57" w14:textId="77777777" w:rsidR="00C2612E" w:rsidRPr="0086311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2F4E5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A2F4E69" w14:textId="77777777" w:rsidTr="006A1E6D">
        <w:tc>
          <w:tcPr>
            <w:tcW w:w="2269" w:type="pct"/>
          </w:tcPr>
          <w:p w14:paraId="6A2F4E5A" w14:textId="77777777" w:rsidR="00F75793" w:rsidRDefault="0010478F">
            <w:pPr>
              <w:pStyle w:val="SCCLsocPrefix"/>
            </w:pPr>
            <w:r>
              <w:t>ENTRE :</w:t>
            </w:r>
            <w:r>
              <w:br/>
            </w:r>
          </w:p>
          <w:p w14:paraId="6A2F4E5B" w14:textId="77777777" w:rsidR="00F75793" w:rsidRDefault="0086311F">
            <w:pPr>
              <w:pStyle w:val="SCCLsocParty"/>
            </w:pPr>
            <w:r>
              <w:t>Dépanneurs Mac’</w:t>
            </w:r>
            <w:r w:rsidR="0010478F">
              <w:t>s</w:t>
            </w:r>
            <w:r w:rsidR="0010478F">
              <w:br/>
            </w:r>
          </w:p>
          <w:p w14:paraId="6A2F4E5C" w14:textId="77777777" w:rsidR="00F75793" w:rsidRDefault="0086311F">
            <w:pPr>
              <w:pStyle w:val="SCCLsocPartyRole"/>
            </w:pPr>
            <w:r>
              <w:t>Demand</w:t>
            </w:r>
            <w:r w:rsidR="0010478F">
              <w:t>eresse</w:t>
            </w:r>
            <w:r w:rsidR="0010478F">
              <w:br/>
            </w:r>
          </w:p>
          <w:p w14:paraId="6A2F4E5D" w14:textId="77777777" w:rsidR="00F75793" w:rsidRDefault="0010478F">
            <w:pPr>
              <w:pStyle w:val="SCCLsocVersus"/>
            </w:pPr>
            <w:r>
              <w:t>- et -</w:t>
            </w:r>
            <w:r>
              <w:br/>
            </w:r>
          </w:p>
          <w:p w14:paraId="6A2F4E5E" w14:textId="77777777" w:rsidR="0010478F" w:rsidRDefault="0010478F">
            <w:pPr>
              <w:pStyle w:val="SCCLsocParty"/>
            </w:pPr>
            <w:r>
              <w:t>Procureur général du Canada</w:t>
            </w:r>
            <w:r w:rsidR="0086311F">
              <w:t xml:space="preserve"> et</w:t>
            </w:r>
            <w:r>
              <w:t xml:space="preserve"> </w:t>
            </w:r>
          </w:p>
          <w:p w14:paraId="6A2F4E5F" w14:textId="77777777" w:rsidR="00F75793" w:rsidRDefault="0010478F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6A2F4E60" w14:textId="77777777" w:rsidR="00F75793" w:rsidRDefault="0086311F">
            <w:pPr>
              <w:pStyle w:val="SCCLsocPartyRole"/>
            </w:pPr>
            <w:r>
              <w:t>Intimé</w:t>
            </w:r>
            <w:r w:rsidR="0010478F">
              <w:t>s</w:t>
            </w:r>
          </w:p>
        </w:tc>
        <w:tc>
          <w:tcPr>
            <w:tcW w:w="381" w:type="pct"/>
          </w:tcPr>
          <w:p w14:paraId="6A2F4E61" w14:textId="77777777" w:rsidR="00824412" w:rsidRPr="0010478F" w:rsidRDefault="00824412" w:rsidP="00375294"/>
        </w:tc>
        <w:tc>
          <w:tcPr>
            <w:tcW w:w="2350" w:type="pct"/>
          </w:tcPr>
          <w:p w14:paraId="6A2F4E62" w14:textId="77777777" w:rsidR="00F75793" w:rsidRPr="0086311F" w:rsidRDefault="0010478F">
            <w:pPr>
              <w:pStyle w:val="SCCLsocPrefix"/>
              <w:rPr>
                <w:lang w:val="en-CA"/>
              </w:rPr>
            </w:pPr>
            <w:r w:rsidRPr="0086311F">
              <w:rPr>
                <w:lang w:val="en-CA"/>
              </w:rPr>
              <w:t>BETWEEN:</w:t>
            </w:r>
            <w:r w:rsidRPr="0086311F">
              <w:rPr>
                <w:lang w:val="en-CA"/>
              </w:rPr>
              <w:br/>
            </w:r>
          </w:p>
          <w:p w14:paraId="6A2F4E63" w14:textId="77777777" w:rsidR="00F75793" w:rsidRPr="0086311F" w:rsidRDefault="0086311F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Mac’</w:t>
            </w:r>
            <w:r w:rsidR="0010478F" w:rsidRPr="0086311F">
              <w:rPr>
                <w:lang w:val="en-CA"/>
              </w:rPr>
              <w:t>s Convenience Store Inc.</w:t>
            </w:r>
            <w:r w:rsidR="0010478F" w:rsidRPr="0086311F">
              <w:rPr>
                <w:lang w:val="en-CA"/>
              </w:rPr>
              <w:br/>
            </w:r>
          </w:p>
          <w:p w14:paraId="6A2F4E64" w14:textId="77777777" w:rsidR="00F75793" w:rsidRPr="0086311F" w:rsidRDefault="0010478F">
            <w:pPr>
              <w:pStyle w:val="SCCLsocPartyRole"/>
              <w:rPr>
                <w:lang w:val="en-CA"/>
              </w:rPr>
            </w:pPr>
            <w:r w:rsidRPr="0086311F">
              <w:rPr>
                <w:lang w:val="en-CA"/>
              </w:rPr>
              <w:t>Applicant</w:t>
            </w:r>
            <w:r w:rsidRPr="0086311F">
              <w:rPr>
                <w:lang w:val="en-CA"/>
              </w:rPr>
              <w:br/>
            </w:r>
          </w:p>
          <w:p w14:paraId="6A2F4E65" w14:textId="77777777" w:rsidR="00F75793" w:rsidRPr="0086311F" w:rsidRDefault="0010478F">
            <w:pPr>
              <w:pStyle w:val="SCCLsocVersus"/>
              <w:rPr>
                <w:lang w:val="en-CA"/>
              </w:rPr>
            </w:pPr>
            <w:r w:rsidRPr="0086311F">
              <w:rPr>
                <w:lang w:val="en-CA"/>
              </w:rPr>
              <w:t>- and -</w:t>
            </w:r>
            <w:r w:rsidRPr="0086311F">
              <w:rPr>
                <w:lang w:val="en-CA"/>
              </w:rPr>
              <w:br/>
            </w:r>
          </w:p>
          <w:p w14:paraId="6A2F4E66" w14:textId="77777777" w:rsidR="0010478F" w:rsidRDefault="0010478F">
            <w:pPr>
              <w:pStyle w:val="SCCLsocParty"/>
              <w:rPr>
                <w:lang w:val="en-CA"/>
              </w:rPr>
            </w:pPr>
            <w:r w:rsidRPr="0086311F">
              <w:rPr>
                <w:lang w:val="en-CA"/>
              </w:rPr>
              <w:t>Attorney General of Canada</w:t>
            </w:r>
            <w:r w:rsidR="0086311F">
              <w:rPr>
                <w:lang w:val="en-CA"/>
              </w:rPr>
              <w:t xml:space="preserve"> and</w:t>
            </w:r>
            <w:r w:rsidRPr="0086311F">
              <w:rPr>
                <w:lang w:val="en-CA"/>
              </w:rPr>
              <w:t xml:space="preserve"> </w:t>
            </w:r>
          </w:p>
          <w:p w14:paraId="6A2F4E67" w14:textId="77777777" w:rsidR="00F75793" w:rsidRPr="003D4B65" w:rsidRDefault="0010478F">
            <w:pPr>
              <w:pStyle w:val="SCCLsocParty"/>
            </w:pPr>
            <w:r w:rsidRPr="003D4B65">
              <w:t>Agence du revenu du Québec</w:t>
            </w:r>
            <w:r w:rsidRPr="003D4B65">
              <w:br/>
            </w:r>
          </w:p>
          <w:p w14:paraId="6A2F4E68" w14:textId="77777777" w:rsidR="00F75793" w:rsidRDefault="0010478F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6A2F4E6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A2F4E6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2F4E6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2F4E6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D3C98" w14:paraId="6A2F4E75" w14:textId="77777777" w:rsidTr="00B37A52">
        <w:tc>
          <w:tcPr>
            <w:tcW w:w="2269" w:type="pct"/>
          </w:tcPr>
          <w:p w14:paraId="6A2F4E6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A2F4E6F" w14:textId="77777777" w:rsidR="0027081E" w:rsidRPr="001E26DB" w:rsidRDefault="0027081E" w:rsidP="0027081E">
            <w:pPr>
              <w:jc w:val="center"/>
            </w:pPr>
          </w:p>
          <w:p w14:paraId="6A2F4E70" w14:textId="77777777" w:rsidR="00824412" w:rsidRPr="001E26DB" w:rsidRDefault="00A70B75" w:rsidP="000B222B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0B222B" w:rsidRPr="00692CF1">
              <w:t>La requête visant à accélérer la procédure de la demande d’autorisation d’appel est</w:t>
            </w:r>
            <w:r w:rsidR="000B222B">
              <w:t xml:space="preserve"> rejetée</w:t>
            </w:r>
            <w:r w:rsidR="000B222B" w:rsidRPr="00692CF1"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</w:t>
            </w:r>
            <w:r w:rsidR="0027081E">
              <w:t>500-09-022851-125</w:t>
            </w:r>
            <w:r w:rsidR="0027081E" w:rsidRPr="001E26DB">
              <w:t xml:space="preserve">, </w:t>
            </w:r>
            <w:r w:rsidR="0086311F" w:rsidRPr="001E26DB">
              <w:t xml:space="preserve">numéro </w:t>
            </w:r>
            <w:r w:rsidR="0086311F">
              <w:t xml:space="preserve">2015 QCCA 837, </w:t>
            </w:r>
            <w:r w:rsidR="0027081E" w:rsidRPr="001E26DB">
              <w:t xml:space="preserve">daté du </w:t>
            </w:r>
            <w:r w:rsidR="0027081E">
              <w:t>12 mai 2015</w:t>
            </w:r>
            <w:r w:rsidR="0027081E" w:rsidRPr="001E26DB">
              <w:t xml:space="preserve">, est </w:t>
            </w:r>
            <w:r w:rsidR="0086311F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6A2F4E7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2F4E7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A2F4E7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A2F4E74" w14:textId="77777777" w:rsidR="00824412" w:rsidRPr="001E26DB" w:rsidRDefault="00A70B75" w:rsidP="00A70B75">
            <w:pPr>
              <w:jc w:val="both"/>
              <w:rPr>
                <w:lang w:val="en-CA"/>
              </w:rPr>
            </w:pPr>
            <w:r w:rsidRPr="00BF127C">
              <w:rPr>
                <w:lang w:val="en-CA"/>
              </w:rPr>
              <w:t xml:space="preserve">The motion for an extension of time to serve and file the application for leave to appeal </w:t>
            </w:r>
            <w:r>
              <w:rPr>
                <w:lang w:val="en-CA"/>
              </w:rPr>
              <w:t xml:space="preserve">is </w:t>
            </w:r>
            <w:r w:rsidRPr="00BF127C">
              <w:rPr>
                <w:lang w:val="en-CA"/>
              </w:rPr>
              <w:t>granted.</w:t>
            </w:r>
            <w:r>
              <w:rPr>
                <w:lang w:val="en-CA"/>
              </w:rPr>
              <w:t xml:space="preserve"> </w:t>
            </w:r>
            <w:r w:rsidR="000B222B" w:rsidRPr="000B222B">
              <w:rPr>
                <w:lang w:val="en-CA"/>
              </w:rPr>
              <w:t>The motion to expedite the applicatio</w:t>
            </w:r>
            <w:r w:rsidR="000B222B">
              <w:rPr>
                <w:lang w:val="en-CA"/>
              </w:rPr>
              <w:t>n for leave to appeal is dismissed.</w:t>
            </w:r>
            <w:r w:rsidR="000B222B" w:rsidRPr="001E26D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6311F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</w:t>
            </w:r>
            <w:r w:rsidR="0027081E" w:rsidRPr="0086311F">
              <w:rPr>
                <w:lang w:val="en-CA"/>
              </w:rPr>
              <w:t>500-09-022851-125</w:t>
            </w:r>
            <w:r w:rsidR="0027081E" w:rsidRPr="001E26DB">
              <w:rPr>
                <w:lang w:val="en-CA"/>
              </w:rPr>
              <w:t xml:space="preserve">, </w:t>
            </w:r>
            <w:r w:rsidR="0086311F" w:rsidRPr="001E26DB">
              <w:rPr>
                <w:lang w:val="en-CA"/>
              </w:rPr>
              <w:t xml:space="preserve">Number </w:t>
            </w:r>
            <w:r w:rsidR="0086311F" w:rsidRPr="0086311F">
              <w:rPr>
                <w:lang w:val="en-CA"/>
              </w:rPr>
              <w:t>2015 QCCA 837,</w:t>
            </w:r>
            <w:r w:rsidR="0086311F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86311F">
              <w:rPr>
                <w:lang w:val="en-CA"/>
              </w:rPr>
              <w:t>May 12, 2015</w:t>
            </w:r>
            <w:r w:rsidR="0086311F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86311F"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A2F4E76" w14:textId="77777777" w:rsidR="00BC4592" w:rsidRDefault="00BC4592" w:rsidP="00417FB7">
      <w:pPr>
        <w:jc w:val="center"/>
        <w:rPr>
          <w:lang w:val="en-US"/>
        </w:rPr>
      </w:pPr>
    </w:p>
    <w:p w14:paraId="6A2F4E77" w14:textId="77777777" w:rsidR="00BC4592" w:rsidRPr="002C29B6" w:rsidRDefault="00BC4592" w:rsidP="00417FB7">
      <w:pPr>
        <w:jc w:val="center"/>
        <w:rPr>
          <w:lang w:val="en-US"/>
        </w:rPr>
      </w:pPr>
    </w:p>
    <w:p w14:paraId="6A2F4E7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A2F4E79" w14:textId="77777777" w:rsidR="009F436C" w:rsidRPr="002C29B6" w:rsidRDefault="00655333" w:rsidP="003D4B6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AB0EEA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4E7C" w14:textId="77777777" w:rsidR="006475C8" w:rsidRDefault="006475C8">
      <w:r>
        <w:separator/>
      </w:r>
    </w:p>
  </w:endnote>
  <w:endnote w:type="continuationSeparator" w:id="0">
    <w:p w14:paraId="6A2F4E7D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F4E7A" w14:textId="77777777" w:rsidR="006475C8" w:rsidRDefault="006475C8">
      <w:r>
        <w:separator/>
      </w:r>
    </w:p>
  </w:footnote>
  <w:footnote w:type="continuationSeparator" w:id="0">
    <w:p w14:paraId="6A2F4E7B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4E7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B0EE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2F4E7F" w14:textId="77777777" w:rsidR="00401B64" w:rsidRDefault="00401B64" w:rsidP="00401B64">
    <w:pPr>
      <w:rPr>
        <w:szCs w:val="24"/>
      </w:rPr>
    </w:pPr>
  </w:p>
  <w:p w14:paraId="6A2F4E80" w14:textId="77777777" w:rsidR="00401B64" w:rsidRDefault="00401B64" w:rsidP="00401B64">
    <w:pPr>
      <w:rPr>
        <w:szCs w:val="24"/>
      </w:rPr>
    </w:pPr>
  </w:p>
  <w:p w14:paraId="6A2F4E8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36773</w:t>
    </w:r>
    <w:r w:rsidR="00401B64">
      <w:rPr>
        <w:szCs w:val="24"/>
      </w:rPr>
      <w:t>     </w:t>
    </w:r>
  </w:p>
  <w:p w14:paraId="6A2F4E82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222B"/>
    <w:rsid w:val="000B76FF"/>
    <w:rsid w:val="000D7521"/>
    <w:rsid w:val="000E4CCE"/>
    <w:rsid w:val="000F44E1"/>
    <w:rsid w:val="0010478F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2212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4B65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311F"/>
    <w:rsid w:val="008665E9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0B75"/>
    <w:rsid w:val="00AB0EEA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C4592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D3C98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5793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2F4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Coram">
    <w:name w:val="SCC.Coram"/>
    <w:basedOn w:val="Normal"/>
    <w:next w:val="Normal"/>
    <w:link w:val="SCCCoramChar"/>
    <w:rsid w:val="0086311F"/>
    <w:pPr>
      <w:pBdr>
        <w:bottom w:val="single" w:sz="4" w:space="1" w:color="auto"/>
      </w:pBdr>
    </w:pPr>
  </w:style>
  <w:style w:type="character" w:customStyle="1" w:styleId="SCCCoramChar">
    <w:name w:val="SCC.Coram Char"/>
    <w:basedOn w:val="DefaultParagraphFont"/>
    <w:link w:val="SCCCoram"/>
    <w:rsid w:val="0086311F"/>
    <w:rPr>
      <w:rFonts w:ascii="Times New Roman" w:eastAsiaTheme="minorHAnsi" w:hAnsi="Times New Roman"/>
      <w:sz w:val="24"/>
      <w:lang w:val="fr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6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5E9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E9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11056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B6344BA-F630-4A59-A691-2F2F707F1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FE0C8-0ED1-4CF7-9542-92149D447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FB86A-7F2E-4A1B-9F88-AB72FCD5E1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2017-03-01T20:34:00Z</dcterms:created>
  <dcterms:modified xsi:type="dcterms:W3CDTF">2017-03-01T20:34:00Z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